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00" w:lineRule="exact"/>
        <w:rPr>
          <w:rFonts w:eastAsia="黑体"/>
          <w:bCs/>
          <w:sz w:val="32"/>
          <w:szCs w:val="32"/>
        </w:rPr>
      </w:pPr>
      <w:bookmarkStart w:id="32" w:name="_GoBack"/>
      <w:bookmarkEnd w:id="32"/>
      <w:r>
        <w:rPr>
          <w:rFonts w:hint="eastAsia" w:ascii="仿宋" w:hAnsi="仿宋" w:eastAsia="仿宋" w:cs="仿宋"/>
          <w:bCs/>
          <w:sz w:val="32"/>
          <w:szCs w:val="32"/>
        </w:rPr>
        <w:t xml:space="preserve"> </w:t>
      </w:r>
      <w:r>
        <w:rPr>
          <w:rFonts w:hint="eastAsia" w:eastAsia="黑体"/>
          <w:bCs/>
          <w:sz w:val="32"/>
          <w:szCs w:val="32"/>
        </w:rPr>
        <w:t xml:space="preserve">                   </w:t>
      </w:r>
    </w:p>
    <w:p>
      <w:pPr>
        <w:adjustRightInd w:val="0"/>
        <w:snapToGrid w:val="0"/>
        <w:spacing w:line="500" w:lineRule="exact"/>
        <w:jc w:val="center"/>
        <w:rPr>
          <w:rFonts w:eastAsia="黑体"/>
          <w:bCs/>
          <w:sz w:val="72"/>
          <w:szCs w:val="72"/>
        </w:rPr>
      </w:pPr>
    </w:p>
    <w:p>
      <w:pPr>
        <w:adjustRightInd w:val="0"/>
        <w:snapToGrid w:val="0"/>
        <w:spacing w:line="500" w:lineRule="exact"/>
        <w:jc w:val="center"/>
        <w:rPr>
          <w:rFonts w:hint="eastAsia" w:eastAsia="黑体"/>
          <w:bCs/>
          <w:sz w:val="72"/>
          <w:szCs w:val="72"/>
          <w:lang w:val="en-US" w:eastAsia="zh-CN"/>
        </w:rPr>
      </w:pPr>
    </w:p>
    <w:p>
      <w:pPr>
        <w:adjustRightInd w:val="0"/>
        <w:snapToGrid w:val="0"/>
        <w:spacing w:line="500" w:lineRule="exact"/>
        <w:jc w:val="center"/>
        <w:rPr>
          <w:rFonts w:eastAsia="黑体"/>
          <w:bCs/>
          <w:sz w:val="72"/>
          <w:szCs w:val="72"/>
        </w:rPr>
      </w:pPr>
    </w:p>
    <w:p>
      <w:pPr>
        <w:adjustRightInd w:val="0"/>
        <w:snapToGrid w:val="0"/>
        <w:spacing w:line="480" w:lineRule="auto"/>
        <w:rPr>
          <w:rFonts w:eastAsia="黑体"/>
          <w:bCs/>
          <w:sz w:val="72"/>
          <w:szCs w:val="72"/>
        </w:rPr>
      </w:pPr>
    </w:p>
    <w:p>
      <w:pPr>
        <w:adjustRightInd w:val="0"/>
        <w:snapToGrid w:val="0"/>
        <w:spacing w:line="480" w:lineRule="auto"/>
        <w:jc w:val="center"/>
        <w:rPr>
          <w:rFonts w:ascii="华文中宋" w:hAnsi="华文中宋" w:eastAsia="华文中宋"/>
          <w:b/>
          <w:bCs/>
          <w:sz w:val="72"/>
          <w:szCs w:val="72"/>
        </w:rPr>
      </w:pPr>
      <w:r>
        <w:rPr>
          <w:rFonts w:ascii="华文中宋" w:hAnsi="华文中宋" w:eastAsia="华文中宋"/>
          <w:b/>
          <w:bCs/>
          <w:sz w:val="72"/>
          <w:szCs w:val="72"/>
        </w:rPr>
        <w:t>公务员录用体检操作手</w:t>
      </w:r>
      <w:r>
        <w:rPr>
          <w:rFonts w:hint="eastAsia" w:ascii="华文中宋" w:hAnsi="华文中宋" w:eastAsia="华文中宋"/>
          <w:b/>
          <w:bCs/>
          <w:sz w:val="72"/>
          <w:szCs w:val="72"/>
        </w:rPr>
        <w:t>册</w:t>
      </w:r>
    </w:p>
    <w:p>
      <w:pPr>
        <w:adjustRightInd w:val="0"/>
        <w:snapToGrid w:val="0"/>
        <w:spacing w:line="480" w:lineRule="auto"/>
        <w:jc w:val="center"/>
        <w:rPr>
          <w:rFonts w:eastAsia="楷体_GB2312"/>
          <w:b/>
          <w:bCs/>
          <w:sz w:val="44"/>
          <w:szCs w:val="44"/>
        </w:rPr>
      </w:pPr>
      <w:r>
        <w:rPr>
          <w:rFonts w:eastAsia="楷体_GB2312"/>
          <w:b/>
          <w:bCs/>
          <w:sz w:val="44"/>
          <w:szCs w:val="44"/>
        </w:rPr>
        <w:t>（</w:t>
      </w:r>
      <w:r>
        <w:rPr>
          <w:rFonts w:hint="eastAsia" w:eastAsia="楷体_GB2312"/>
          <w:b/>
          <w:bCs/>
          <w:sz w:val="44"/>
          <w:szCs w:val="44"/>
        </w:rPr>
        <w:t>试 行</w:t>
      </w:r>
      <w:r>
        <w:rPr>
          <w:rFonts w:eastAsia="楷体_GB2312"/>
          <w:b/>
          <w:bCs/>
          <w:sz w:val="44"/>
          <w:szCs w:val="44"/>
        </w:rPr>
        <w:t>）</w:t>
      </w: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rFonts w:hint="eastAsia" w:eastAsia="楷体_GB2312"/>
          <w:b/>
          <w:bCs/>
          <w:sz w:val="44"/>
          <w:szCs w:val="44"/>
        </w:rPr>
      </w:pPr>
    </w:p>
    <w:p>
      <w:pPr>
        <w:adjustRightInd w:val="0"/>
        <w:snapToGrid w:val="0"/>
        <w:spacing w:line="500" w:lineRule="exact"/>
        <w:jc w:val="center"/>
        <w:rPr>
          <w:b/>
          <w:bCs/>
          <w:sz w:val="44"/>
        </w:rPr>
        <w:sectPr>
          <w:footerReference r:id="rId3" w:type="default"/>
          <w:pgSz w:w="11906" w:h="16838"/>
          <w:pgMar w:top="1440" w:right="1797" w:bottom="1440" w:left="1797" w:header="851" w:footer="992" w:gutter="0"/>
          <w:pgNumType w:start="1"/>
          <w:cols w:space="720" w:num="1"/>
          <w:docGrid w:type="lines" w:linePitch="312" w:charSpace="0"/>
        </w:sectPr>
      </w:pPr>
    </w:p>
    <w:p>
      <w:pPr>
        <w:adjustRightInd w:val="0"/>
        <w:snapToGrid w:val="0"/>
        <w:spacing w:line="500" w:lineRule="exact"/>
        <w:jc w:val="center"/>
        <w:rPr>
          <w:b/>
          <w:bCs/>
          <w:sz w:val="44"/>
        </w:rPr>
      </w:pPr>
    </w:p>
    <w:p>
      <w:pPr>
        <w:adjustRightInd w:val="0"/>
        <w:snapToGrid w:val="0"/>
        <w:spacing w:line="500" w:lineRule="exact"/>
        <w:jc w:val="center"/>
        <w:rPr>
          <w:b/>
          <w:bCs/>
          <w:sz w:val="44"/>
        </w:rPr>
      </w:pPr>
      <w:r>
        <w:rPr>
          <w:b/>
          <w:bCs/>
          <w:sz w:val="44"/>
        </w:rPr>
        <w:t>目    录</w:t>
      </w:r>
    </w:p>
    <w:p>
      <w:pPr>
        <w:pStyle w:val="13"/>
        <w:tabs>
          <w:tab w:val="right" w:leader="dot" w:pos="8302"/>
        </w:tabs>
        <w:adjustRightInd w:val="0"/>
        <w:snapToGrid w:val="0"/>
        <w:spacing w:line="500" w:lineRule="exact"/>
        <w:rPr>
          <w:szCs w:val="22"/>
        </w:rPr>
      </w:pPr>
      <w:r>
        <w:fldChar w:fldCharType="begin"/>
      </w:r>
      <w:r>
        <w:instrText xml:space="preserve"> TOC \o "1-3" \h \z \u </w:instrText>
      </w:r>
      <w:r>
        <w:fldChar w:fldCharType="separate"/>
      </w:r>
    </w:p>
    <w:p>
      <w:pPr>
        <w:pStyle w:val="11"/>
        <w:tabs>
          <w:tab w:val="right" w:leader="dot" w:pos="8302"/>
        </w:tabs>
        <w:adjustRightInd w:val="0"/>
        <w:snapToGrid w:val="0"/>
        <w:spacing w:line="500" w:lineRule="exact"/>
        <w:rPr>
          <w:szCs w:val="22"/>
        </w:rPr>
      </w:pPr>
      <w:r>
        <w:fldChar w:fldCharType="begin"/>
      </w:r>
      <w:r>
        <w:instrText xml:space="preserve"> HYPERLINK \l "_Toc391888308" </w:instrText>
      </w:r>
      <w:r>
        <w:fldChar w:fldCharType="separate"/>
      </w:r>
      <w:r>
        <w:rPr>
          <w:rStyle w:val="17"/>
        </w:rPr>
        <w:t>第1篇  体检项目及操作规程</w:t>
      </w:r>
      <w:r>
        <w:tab/>
      </w:r>
      <w:r>
        <w:rPr>
          <w:rFonts w:hint="eastAsia"/>
        </w:rPr>
        <w:t>1</w:t>
      </w:r>
      <w:r>
        <w:fldChar w:fldCharType="end"/>
      </w:r>
      <w:r>
        <w:rPr>
          <w:rFonts w:hint="eastAsia"/>
        </w:rPr>
        <w:t>0</w:t>
      </w:r>
    </w:p>
    <w:p>
      <w:pPr>
        <w:pStyle w:val="13"/>
        <w:tabs>
          <w:tab w:val="right" w:leader="dot" w:pos="8302"/>
        </w:tabs>
        <w:adjustRightInd w:val="0"/>
        <w:snapToGrid w:val="0"/>
        <w:spacing w:line="500" w:lineRule="exact"/>
        <w:rPr>
          <w:szCs w:val="22"/>
        </w:rPr>
      </w:pPr>
      <w:r>
        <w:fldChar w:fldCharType="begin"/>
      </w:r>
      <w:r>
        <w:instrText xml:space="preserve"> HYPERLINK \l "_Toc391888309" </w:instrText>
      </w:r>
      <w:r>
        <w:fldChar w:fldCharType="separate"/>
      </w:r>
      <w:r>
        <w:rPr>
          <w:rStyle w:val="17"/>
        </w:rPr>
        <w:t>1  临床检查</w:t>
      </w:r>
      <w:r>
        <w:tab/>
      </w:r>
      <w:r>
        <w:rPr>
          <w:rFonts w:hint="eastAsia"/>
        </w:rPr>
        <w:t>1</w:t>
      </w:r>
      <w:r>
        <w:fldChar w:fldCharType="end"/>
      </w:r>
      <w:r>
        <w:rPr>
          <w:rFonts w:hint="eastAsia"/>
        </w:rPr>
        <w:t>0</w:t>
      </w:r>
    </w:p>
    <w:p>
      <w:pPr>
        <w:pStyle w:val="7"/>
        <w:tabs>
          <w:tab w:val="right" w:leader="dot" w:pos="8302"/>
        </w:tabs>
        <w:adjustRightInd w:val="0"/>
        <w:snapToGrid w:val="0"/>
        <w:spacing w:line="500" w:lineRule="exact"/>
        <w:rPr>
          <w:szCs w:val="22"/>
        </w:rPr>
      </w:pPr>
      <w:r>
        <w:fldChar w:fldCharType="begin"/>
      </w:r>
      <w:r>
        <w:instrText xml:space="preserve"> HYPERLINK \l "_Toc391888310" </w:instrText>
      </w:r>
      <w:r>
        <w:fldChar w:fldCharType="separate"/>
      </w:r>
      <w:r>
        <w:rPr>
          <w:rStyle w:val="17"/>
        </w:rPr>
        <w:t>1.1  一般检查</w:t>
      </w:r>
      <w:r>
        <w:tab/>
      </w:r>
      <w:r>
        <w:rPr>
          <w:rFonts w:hint="eastAsia"/>
        </w:rPr>
        <w:t>1</w:t>
      </w:r>
      <w:r>
        <w:fldChar w:fldCharType="end"/>
      </w:r>
      <w:r>
        <w:rPr>
          <w:rFonts w:hint="eastAsia"/>
        </w:rPr>
        <w:t>0</w:t>
      </w:r>
    </w:p>
    <w:p>
      <w:pPr>
        <w:pStyle w:val="7"/>
        <w:tabs>
          <w:tab w:val="right" w:leader="dot" w:pos="8302"/>
        </w:tabs>
        <w:adjustRightInd w:val="0"/>
        <w:snapToGrid w:val="0"/>
        <w:spacing w:line="500" w:lineRule="exact"/>
        <w:rPr>
          <w:szCs w:val="22"/>
        </w:rPr>
      </w:pPr>
      <w:r>
        <w:fldChar w:fldCharType="begin"/>
      </w:r>
      <w:r>
        <w:instrText xml:space="preserve"> HYPERLINK \l "_Toc391888311" </w:instrText>
      </w:r>
      <w:r>
        <w:fldChar w:fldCharType="separate"/>
      </w:r>
      <w:r>
        <w:rPr>
          <w:rStyle w:val="17"/>
        </w:rPr>
        <w:t>1.2  内科检查</w:t>
      </w:r>
      <w:r>
        <w:tab/>
      </w:r>
      <w:r>
        <w:rPr>
          <w:rFonts w:hint="eastAsia"/>
        </w:rPr>
        <w:t>1</w:t>
      </w:r>
      <w:r>
        <w:fldChar w:fldCharType="end"/>
      </w:r>
      <w:r>
        <w:rPr>
          <w:rFonts w:hint="eastAsia"/>
        </w:rPr>
        <w:t>1</w:t>
      </w:r>
    </w:p>
    <w:p>
      <w:pPr>
        <w:pStyle w:val="7"/>
        <w:tabs>
          <w:tab w:val="right" w:leader="dot" w:pos="8302"/>
        </w:tabs>
        <w:adjustRightInd w:val="0"/>
        <w:snapToGrid w:val="0"/>
        <w:spacing w:line="500" w:lineRule="exact"/>
        <w:rPr>
          <w:szCs w:val="22"/>
        </w:rPr>
      </w:pPr>
      <w:r>
        <w:fldChar w:fldCharType="begin"/>
      </w:r>
      <w:r>
        <w:instrText xml:space="preserve"> HYPERLINK \l "_Toc391888312" </w:instrText>
      </w:r>
      <w:r>
        <w:fldChar w:fldCharType="separate"/>
      </w:r>
      <w:r>
        <w:rPr>
          <w:rStyle w:val="17"/>
        </w:rPr>
        <w:t>1.3  外科检查</w:t>
      </w:r>
      <w:r>
        <w:tab/>
      </w:r>
      <w:r>
        <w:rPr>
          <w:rFonts w:hint="eastAsia"/>
        </w:rPr>
        <w:t>1</w:t>
      </w:r>
      <w:r>
        <w:fldChar w:fldCharType="end"/>
      </w:r>
      <w:r>
        <w:rPr>
          <w:rFonts w:hint="eastAsia"/>
        </w:rPr>
        <w:t>4</w:t>
      </w:r>
    </w:p>
    <w:p>
      <w:pPr>
        <w:pStyle w:val="7"/>
        <w:tabs>
          <w:tab w:val="right" w:leader="dot" w:pos="8302"/>
        </w:tabs>
        <w:adjustRightInd w:val="0"/>
        <w:snapToGrid w:val="0"/>
        <w:spacing w:line="500" w:lineRule="exact"/>
        <w:rPr>
          <w:szCs w:val="22"/>
        </w:rPr>
      </w:pPr>
      <w:r>
        <w:fldChar w:fldCharType="begin"/>
      </w:r>
      <w:r>
        <w:instrText xml:space="preserve"> HYPERLINK \l "_Toc391888313" </w:instrText>
      </w:r>
      <w:r>
        <w:fldChar w:fldCharType="separate"/>
      </w:r>
      <w:r>
        <w:rPr>
          <w:rStyle w:val="17"/>
        </w:rPr>
        <w:t>1.4  眼科检查</w:t>
      </w:r>
      <w:r>
        <w:tab/>
      </w:r>
      <w:r>
        <w:rPr>
          <w:rFonts w:hint="eastAsia"/>
        </w:rPr>
        <w:t>1</w:t>
      </w:r>
      <w:r>
        <w:fldChar w:fldCharType="end"/>
      </w:r>
      <w:r>
        <w:rPr>
          <w:rFonts w:hint="eastAsia"/>
        </w:rPr>
        <w:t>6</w:t>
      </w:r>
    </w:p>
    <w:p>
      <w:pPr>
        <w:pStyle w:val="7"/>
        <w:tabs>
          <w:tab w:val="right" w:leader="dot" w:pos="8302"/>
        </w:tabs>
        <w:adjustRightInd w:val="0"/>
        <w:snapToGrid w:val="0"/>
        <w:spacing w:line="500" w:lineRule="exact"/>
        <w:rPr>
          <w:szCs w:val="22"/>
        </w:rPr>
      </w:pPr>
      <w:r>
        <w:fldChar w:fldCharType="begin"/>
      </w:r>
      <w:r>
        <w:instrText xml:space="preserve"> HYPERLINK \l "_Toc391888314" </w:instrText>
      </w:r>
      <w:r>
        <w:fldChar w:fldCharType="separate"/>
      </w:r>
      <w:r>
        <w:rPr>
          <w:rStyle w:val="17"/>
        </w:rPr>
        <w:t>1.5  耳鼻喉科检查</w:t>
      </w:r>
      <w:r>
        <w:tab/>
      </w:r>
      <w:r>
        <w:rPr>
          <w:rFonts w:hint="eastAsia"/>
        </w:rPr>
        <w:t>21</w:t>
      </w:r>
      <w:r>
        <w:fldChar w:fldCharType="end"/>
      </w:r>
    </w:p>
    <w:p>
      <w:pPr>
        <w:pStyle w:val="7"/>
        <w:tabs>
          <w:tab w:val="right" w:leader="dot" w:pos="8302"/>
        </w:tabs>
        <w:adjustRightInd w:val="0"/>
        <w:snapToGrid w:val="0"/>
        <w:spacing w:line="500" w:lineRule="exact"/>
        <w:rPr>
          <w:szCs w:val="22"/>
        </w:rPr>
      </w:pPr>
      <w:r>
        <w:fldChar w:fldCharType="begin"/>
      </w:r>
      <w:r>
        <w:instrText xml:space="preserve"> HYPERLINK \l "_Toc391888315" </w:instrText>
      </w:r>
      <w:r>
        <w:fldChar w:fldCharType="separate"/>
      </w:r>
      <w:r>
        <w:rPr>
          <w:rStyle w:val="17"/>
        </w:rPr>
        <w:t>1.6  口腔科检查</w:t>
      </w:r>
      <w:r>
        <w:tab/>
      </w:r>
      <w:r>
        <w:rPr>
          <w:rFonts w:hint="eastAsia"/>
        </w:rPr>
        <w:t>22</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"_Toc391888316" </w:instrText>
      </w:r>
      <w:r>
        <w:fldChar w:fldCharType="separate"/>
      </w:r>
      <w:r>
        <w:rPr>
          <w:rStyle w:val="17"/>
        </w:rPr>
        <w:t>2  妇科检查</w:t>
      </w:r>
      <w:r>
        <w:tab/>
      </w:r>
      <w:r>
        <w:rPr>
          <w:rFonts w:hint="eastAsia"/>
        </w:rPr>
        <w:t>22</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"_Toc391888317" </w:instrText>
      </w:r>
      <w:r>
        <w:fldChar w:fldCharType="separate"/>
      </w:r>
      <w:r>
        <w:rPr>
          <w:rStyle w:val="17"/>
        </w:rPr>
        <w:t>3  心电图检查</w:t>
      </w:r>
      <w:r>
        <w:tab/>
      </w:r>
      <w:r>
        <w:rPr>
          <w:rFonts w:hint="eastAsia"/>
        </w:rPr>
        <w:t>23</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"_Toc391888318" </w:instrText>
      </w:r>
      <w:r>
        <w:fldChar w:fldCharType="separate"/>
      </w:r>
      <w:r>
        <w:rPr>
          <w:rStyle w:val="17"/>
        </w:rPr>
        <w:t>4  腹部B超检查</w:t>
      </w:r>
      <w:r>
        <w:tab/>
      </w:r>
      <w:r>
        <w:rPr>
          <w:rFonts w:hint="eastAsia"/>
        </w:rPr>
        <w:t>2</w:t>
      </w:r>
      <w:r>
        <w:fldChar w:fldCharType="end"/>
      </w:r>
      <w:r>
        <w:rPr>
          <w:rFonts w:hint="eastAsia"/>
        </w:rPr>
        <w:t>6</w:t>
      </w:r>
    </w:p>
    <w:p>
      <w:pPr>
        <w:pStyle w:val="13"/>
        <w:tabs>
          <w:tab w:val="right" w:leader="dot" w:pos="8302"/>
        </w:tabs>
        <w:adjustRightInd w:val="0"/>
        <w:snapToGrid w:val="0"/>
        <w:spacing w:line="500" w:lineRule="exact"/>
        <w:rPr>
          <w:szCs w:val="22"/>
        </w:rPr>
      </w:pPr>
      <w:r>
        <w:fldChar w:fldCharType="begin"/>
      </w:r>
      <w:r>
        <w:instrText xml:space="preserve"> HYPERLINK \l "_Toc391888319" </w:instrText>
      </w:r>
      <w:r>
        <w:fldChar w:fldCharType="separate"/>
      </w:r>
      <w:r>
        <w:rPr>
          <w:rStyle w:val="17"/>
        </w:rPr>
        <w:t>5  胸部X线检查</w:t>
      </w:r>
      <w:r>
        <w:tab/>
      </w:r>
      <w:r>
        <w:rPr>
          <w:rFonts w:hint="eastAsia"/>
        </w:rPr>
        <w:t>30</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"_Toc391888320" </w:instrText>
      </w:r>
      <w:r>
        <w:fldChar w:fldCharType="separate"/>
      </w:r>
      <w:r>
        <w:rPr>
          <w:rStyle w:val="17"/>
        </w:rPr>
        <w:t>6  实验室检查</w:t>
      </w:r>
      <w:r>
        <w:tab/>
      </w:r>
      <w:r>
        <w:rPr>
          <w:rFonts w:hint="eastAsia"/>
        </w:rPr>
        <w:t>31</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"_Toc391888321" </w:instrText>
      </w:r>
      <w:r>
        <w:fldChar w:fldCharType="separate"/>
      </w:r>
      <w:r>
        <w:rPr>
          <w:rStyle w:val="17"/>
        </w:rPr>
        <w:t>7  体检结论及建议</w:t>
      </w:r>
      <w:r>
        <w:tab/>
      </w:r>
      <w:r>
        <w:rPr>
          <w:rFonts w:hint="eastAsia"/>
        </w:rPr>
        <w:t>3</w:t>
      </w:r>
      <w:r>
        <w:fldChar w:fldCharType="end"/>
      </w:r>
      <w:r>
        <w:rPr>
          <w:rFonts w:hint="eastAsia"/>
        </w:rPr>
        <w:t>8</w:t>
      </w:r>
    </w:p>
    <w:p>
      <w:pPr>
        <w:pStyle w:val="13"/>
        <w:tabs>
          <w:tab w:val="right" w:leader="dot" w:pos="8302"/>
        </w:tabs>
        <w:adjustRightInd w:val="0"/>
        <w:snapToGrid w:val="0"/>
        <w:spacing w:line="500" w:lineRule="exact"/>
        <w:rPr>
          <w:szCs w:val="22"/>
        </w:rPr>
      </w:pPr>
      <w:r>
        <w:fldChar w:fldCharType="begin"/>
      </w:r>
      <w:r>
        <w:instrText xml:space="preserve"> HYPERLINK \l "_Toc391888322" </w:instrText>
      </w:r>
      <w:r>
        <w:fldChar w:fldCharType="separate"/>
      </w:r>
      <w:r>
        <w:rPr>
          <w:rStyle w:val="17"/>
        </w:rPr>
        <w:t>8  关于体检表填写说明</w:t>
      </w:r>
      <w:r>
        <w:tab/>
      </w:r>
      <w:r>
        <w:rPr>
          <w:rFonts w:hint="eastAsia"/>
        </w:rPr>
        <w:t>3</w:t>
      </w:r>
      <w:r>
        <w:fldChar w:fldCharType="end"/>
      </w:r>
      <w:r>
        <w:rPr>
          <w:rFonts w:hint="eastAsia"/>
        </w:rPr>
        <w:t>8</w:t>
      </w:r>
    </w:p>
    <w:p>
      <w:pPr>
        <w:pStyle w:val="11"/>
        <w:tabs>
          <w:tab w:val="right" w:leader="dot" w:pos="8302"/>
        </w:tabs>
        <w:adjustRightInd w:val="0"/>
        <w:snapToGrid w:val="0"/>
        <w:spacing w:line="500" w:lineRule="exact"/>
      </w:pPr>
    </w:p>
    <w:p>
      <w:pPr>
        <w:pStyle w:val="11"/>
        <w:tabs>
          <w:tab w:val="right" w:leader="dot" w:pos="8302"/>
        </w:tabs>
        <w:adjustRightInd w:val="0"/>
        <w:snapToGrid w:val="0"/>
        <w:spacing w:line="500" w:lineRule="exact"/>
        <w:rPr>
          <w:szCs w:val="22"/>
        </w:rPr>
      </w:pPr>
      <w:r>
        <w:fldChar w:fldCharType="begin"/>
      </w:r>
      <w:r>
        <w:instrText xml:space="preserve"> HYPERLINK \l "_Toc391888323" </w:instrText>
      </w:r>
      <w:r>
        <w:fldChar w:fldCharType="separate"/>
      </w:r>
      <w:r>
        <w:rPr>
          <w:rStyle w:val="17"/>
        </w:rPr>
        <w:t>第2篇  《公务员录用体检通用标准</w:t>
      </w:r>
      <w:r>
        <w:rPr>
          <w:rStyle w:val="17"/>
          <w:rFonts w:hint="eastAsia"/>
        </w:rPr>
        <w:t>（试行）</w:t>
      </w:r>
      <w:r>
        <w:rPr>
          <w:rStyle w:val="17"/>
        </w:rPr>
        <w:t>》实施细则</w:t>
      </w:r>
      <w:r>
        <w:tab/>
      </w:r>
      <w:r>
        <w:rPr>
          <w:rFonts w:hint="eastAsia"/>
        </w:rPr>
        <w:t>4</w:t>
      </w:r>
      <w:r>
        <w:fldChar w:fldCharType="end"/>
      </w:r>
      <w:r>
        <w:rPr>
          <w:rFonts w:hint="eastAsia"/>
        </w:rPr>
        <w:t>0</w:t>
      </w:r>
    </w:p>
    <w:p>
      <w:pPr>
        <w:pStyle w:val="13"/>
        <w:tabs>
          <w:tab w:val="right" w:leader="dot" w:pos="8302"/>
        </w:tabs>
        <w:adjustRightInd w:val="0"/>
        <w:snapToGrid w:val="0"/>
        <w:spacing w:line="500" w:lineRule="exact"/>
        <w:rPr>
          <w:szCs w:val="22"/>
        </w:rPr>
      </w:pPr>
      <w:r>
        <w:fldChar w:fldCharType="begin"/>
      </w:r>
      <w:r>
        <w:instrText xml:space="preserve"> HYPERLINK \l "_Toc391888324" </w:instrText>
      </w:r>
      <w:r>
        <w:fldChar w:fldCharType="separate"/>
      </w:r>
      <w:r>
        <w:rPr>
          <w:rStyle w:val="17"/>
        </w:rPr>
        <w:t>1  关于器质性心脏病</w:t>
      </w:r>
      <w:r>
        <w:tab/>
      </w:r>
      <w:r>
        <w:rPr>
          <w:rFonts w:hint="eastAsia"/>
        </w:rPr>
        <w:t>40</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"_Toc391888325" </w:instrText>
      </w:r>
      <w:r>
        <w:fldChar w:fldCharType="separate"/>
      </w:r>
      <w:r>
        <w:rPr>
          <w:rStyle w:val="17"/>
        </w:rPr>
        <w:t>2  关于血压</w:t>
      </w:r>
      <w:r>
        <w:tab/>
      </w:r>
      <w:r>
        <w:rPr>
          <w:rFonts w:hint="eastAsia"/>
        </w:rPr>
        <w:t>4</w:t>
      </w:r>
      <w:r>
        <w:fldChar w:fldCharType="end"/>
      </w:r>
      <w:r>
        <w:rPr>
          <w:rFonts w:hint="eastAsia"/>
        </w:rPr>
        <w:t>7</w:t>
      </w:r>
    </w:p>
    <w:p>
      <w:pPr>
        <w:pStyle w:val="13"/>
        <w:tabs>
          <w:tab w:val="right" w:leader="dot" w:pos="8302"/>
        </w:tabs>
        <w:adjustRightInd w:val="0"/>
        <w:snapToGrid w:val="0"/>
        <w:spacing w:line="500" w:lineRule="exact"/>
        <w:rPr>
          <w:szCs w:val="22"/>
        </w:rPr>
      </w:pPr>
      <w:r>
        <w:fldChar w:fldCharType="begin"/>
      </w:r>
      <w:r>
        <w:instrText xml:space="preserve"> HYPERLINK \l "_Toc391888326" </w:instrText>
      </w:r>
      <w:r>
        <w:fldChar w:fldCharType="separate"/>
      </w:r>
      <w:r>
        <w:rPr>
          <w:rStyle w:val="17"/>
        </w:rPr>
        <w:t>3  关于血液系统疾病</w:t>
      </w:r>
      <w:r>
        <w:tab/>
      </w:r>
      <w:r>
        <w:rPr>
          <w:rFonts w:hint="eastAsia"/>
        </w:rPr>
        <w:t>50</w:t>
      </w:r>
      <w:r>
        <w:fldChar w:fldCharType="end"/>
      </w:r>
    </w:p>
    <w:p>
      <w:pPr>
        <w:pStyle w:val="13"/>
        <w:tabs>
          <w:tab w:val="right" w:leader="dot" w:pos="8302"/>
        </w:tabs>
        <w:adjustRightInd w:val="0"/>
        <w:snapToGrid w:val="0"/>
        <w:spacing w:line="500" w:lineRule="exact"/>
        <w:rPr>
          <w:szCs w:val="22"/>
        </w:rPr>
      </w:pPr>
      <w:r>
        <w:fldChar w:fldCharType="begin"/>
      </w:r>
      <w:r>
        <w:instrText xml:space="preserve"> HYPERLINK \l "_Toc391888327" </w:instrText>
      </w:r>
      <w:r>
        <w:fldChar w:fldCharType="separate"/>
      </w:r>
      <w:r>
        <w:rPr>
          <w:rStyle w:val="17"/>
        </w:rPr>
        <w:t>4  关于结核病</w:t>
      </w:r>
      <w:r>
        <w:tab/>
      </w:r>
      <w:r>
        <w:rPr>
          <w:rFonts w:hint="eastAsia"/>
        </w:rPr>
        <w:t>6</w:t>
      </w:r>
      <w:r>
        <w:fldChar w:fldCharType="end"/>
      </w:r>
      <w:r>
        <w:rPr>
          <w:rFonts w:hint="eastAsia"/>
        </w:rPr>
        <w:t>0</w:t>
      </w:r>
    </w:p>
    <w:p>
      <w:pPr>
        <w:pStyle w:val="13"/>
        <w:tabs>
          <w:tab w:val="right" w:leader="dot" w:pos="8302"/>
        </w:tabs>
        <w:adjustRightInd w:val="0"/>
        <w:snapToGrid w:val="0"/>
        <w:spacing w:line="500" w:lineRule="exact"/>
        <w:rPr>
          <w:szCs w:val="22"/>
        </w:rPr>
      </w:pPr>
      <w:r>
        <w:fldChar w:fldCharType="begin"/>
      </w:r>
      <w:r>
        <w:instrText xml:space="preserve"> HYPERLINK \l "_Toc391888328" </w:instrText>
      </w:r>
      <w:r>
        <w:fldChar w:fldCharType="separate"/>
      </w:r>
      <w:r>
        <w:rPr>
          <w:rStyle w:val="17"/>
        </w:rPr>
        <w:t>5  关于呼吸系统疾病</w:t>
      </w:r>
      <w:r>
        <w:tab/>
      </w:r>
      <w:r>
        <w:rPr>
          <w:rFonts w:hint="eastAsia"/>
        </w:rPr>
        <w:t>6</w:t>
      </w:r>
      <w:r>
        <w:fldChar w:fldCharType="end"/>
      </w:r>
      <w:r>
        <w:rPr>
          <w:rFonts w:hint="eastAsia"/>
        </w:rPr>
        <w:t>4</w:t>
      </w:r>
    </w:p>
    <w:p>
      <w:pPr>
        <w:pStyle w:val="13"/>
        <w:tabs>
          <w:tab w:val="right" w:leader="dot" w:pos="8302"/>
        </w:tabs>
        <w:adjustRightInd w:val="0"/>
        <w:snapToGrid w:val="0"/>
        <w:spacing w:line="500" w:lineRule="exact"/>
        <w:rPr>
          <w:szCs w:val="22"/>
        </w:rPr>
      </w:pPr>
      <w:r>
        <w:fldChar w:fldCharType="begin"/>
      </w:r>
      <w:r>
        <w:instrText xml:space="preserve"> HYPERLINK \l "_Toc391888329" </w:instrText>
      </w:r>
      <w:r>
        <w:fldChar w:fldCharType="separate"/>
      </w:r>
      <w:r>
        <w:rPr>
          <w:rStyle w:val="17"/>
        </w:rPr>
        <w:t>6  关于消化系统疾病</w:t>
      </w:r>
      <w:r>
        <w:tab/>
      </w:r>
      <w:r>
        <w:rPr>
          <w:rFonts w:hint="eastAsia"/>
        </w:rPr>
        <w:t>6</w:t>
      </w:r>
      <w:r>
        <w:fldChar w:fldCharType="end"/>
      </w:r>
      <w:r>
        <w:rPr>
          <w:rFonts w:hint="eastAsia"/>
        </w:rPr>
        <w:t>7</w:t>
      </w:r>
    </w:p>
    <w:p>
      <w:pPr>
        <w:pStyle w:val="13"/>
        <w:tabs>
          <w:tab w:val="right" w:leader="dot" w:pos="8302"/>
        </w:tabs>
        <w:adjustRightInd w:val="0"/>
        <w:snapToGrid w:val="0"/>
        <w:spacing w:line="500" w:lineRule="exact"/>
        <w:rPr>
          <w:szCs w:val="22"/>
        </w:rPr>
      </w:pPr>
      <w:r>
        <w:fldChar w:fldCharType="begin"/>
      </w:r>
      <w:r>
        <w:instrText xml:space="preserve"> HYPERLINK \l "_Toc391888330" </w:instrText>
      </w:r>
      <w:r>
        <w:fldChar w:fldCharType="separate"/>
      </w:r>
      <w:r>
        <w:rPr>
          <w:rStyle w:val="17"/>
        </w:rPr>
        <w:t>7  关于肝炎和肝硬化</w:t>
      </w:r>
      <w:r>
        <w:tab/>
      </w:r>
      <w:r>
        <w:rPr>
          <w:rFonts w:hint="eastAsia"/>
        </w:rPr>
        <w:t>7</w:t>
      </w:r>
      <w:r>
        <w:fldChar w:fldCharType="end"/>
      </w:r>
      <w:r>
        <w:rPr>
          <w:rFonts w:hint="eastAsia"/>
        </w:rPr>
        <w:t>1</w:t>
      </w:r>
    </w:p>
    <w:p>
      <w:pPr>
        <w:pStyle w:val="13"/>
        <w:tabs>
          <w:tab w:val="right" w:leader="dot" w:pos="8302"/>
        </w:tabs>
        <w:adjustRightInd w:val="0"/>
        <w:snapToGrid w:val="0"/>
        <w:spacing w:line="500" w:lineRule="exact"/>
        <w:rPr>
          <w:szCs w:val="22"/>
        </w:rPr>
      </w:pPr>
      <w:r>
        <w:fldChar w:fldCharType="begin"/>
      </w:r>
      <w:r>
        <w:instrText xml:space="preserve"> HYPERLINK \l "_Toc391888331" </w:instrText>
      </w:r>
      <w:r>
        <w:fldChar w:fldCharType="separate"/>
      </w:r>
      <w:r>
        <w:rPr>
          <w:rStyle w:val="17"/>
        </w:rPr>
        <w:t>8  关于恶性肿瘤</w:t>
      </w:r>
      <w:r>
        <w:tab/>
      </w:r>
      <w:r>
        <w:rPr>
          <w:rFonts w:hint="eastAsia"/>
        </w:rPr>
        <w:t>7</w:t>
      </w:r>
      <w:r>
        <w:fldChar w:fldCharType="end"/>
      </w:r>
      <w:r>
        <w:rPr>
          <w:rFonts w:hint="eastAsia"/>
        </w:rPr>
        <w:t>5</w:t>
      </w:r>
    </w:p>
    <w:p>
      <w:pPr>
        <w:pStyle w:val="13"/>
        <w:tabs>
          <w:tab w:val="right" w:leader="dot" w:pos="8302"/>
        </w:tabs>
        <w:adjustRightInd w:val="0"/>
        <w:snapToGrid w:val="0"/>
        <w:spacing w:line="500" w:lineRule="exact"/>
        <w:rPr>
          <w:szCs w:val="22"/>
        </w:rPr>
      </w:pPr>
      <w:r>
        <w:fldChar w:fldCharType="begin"/>
      </w:r>
      <w:r>
        <w:instrText xml:space="preserve"> HYPERLINK \l "_Toc391888332" </w:instrText>
      </w:r>
      <w:r>
        <w:fldChar w:fldCharType="separate"/>
      </w:r>
      <w:r>
        <w:rPr>
          <w:rStyle w:val="17"/>
        </w:rPr>
        <w:t>9  关于肾脏疾病</w:t>
      </w:r>
      <w:r>
        <w:tab/>
      </w:r>
      <w:r>
        <w:rPr>
          <w:rFonts w:hint="eastAsia"/>
        </w:rPr>
        <w:t>8</w:t>
      </w:r>
      <w:r>
        <w:fldChar w:fldCharType="end"/>
      </w:r>
      <w:r>
        <w:rPr>
          <w:rFonts w:hint="eastAsia"/>
        </w:rPr>
        <w:t>2</w:t>
      </w:r>
    </w:p>
    <w:p>
      <w:pPr>
        <w:pStyle w:val="13"/>
        <w:tabs>
          <w:tab w:val="right" w:leader="dot" w:pos="8302"/>
        </w:tabs>
        <w:adjustRightInd w:val="0"/>
        <w:snapToGrid w:val="0"/>
        <w:spacing w:line="500" w:lineRule="exact"/>
        <w:rPr>
          <w:szCs w:val="22"/>
        </w:rPr>
      </w:pPr>
      <w:r>
        <w:fldChar w:fldCharType="begin"/>
      </w:r>
      <w:r>
        <w:instrText xml:space="preserve"> HYPERLINK \l "_Toc391888333" </w:instrText>
      </w:r>
      <w:r>
        <w:fldChar w:fldCharType="separate"/>
      </w:r>
      <w:r>
        <w:rPr>
          <w:rStyle w:val="17"/>
        </w:rPr>
        <w:t>10  关于内分泌系统疾病</w:t>
      </w:r>
      <w:r>
        <w:tab/>
      </w:r>
      <w:r>
        <w:rPr>
          <w:rFonts w:hint="eastAsia"/>
        </w:rPr>
        <w:t>8</w:t>
      </w:r>
      <w:r>
        <w:fldChar w:fldCharType="end"/>
      </w:r>
      <w:r>
        <w:rPr>
          <w:rFonts w:hint="eastAsia"/>
        </w:rPr>
        <w:t>7</w:t>
      </w:r>
    </w:p>
    <w:p>
      <w:pPr>
        <w:pStyle w:val="13"/>
        <w:tabs>
          <w:tab w:val="right" w:leader="dot" w:pos="8302"/>
        </w:tabs>
        <w:adjustRightInd w:val="0"/>
        <w:snapToGrid w:val="0"/>
        <w:spacing w:line="500" w:lineRule="exact"/>
        <w:rPr>
          <w:szCs w:val="22"/>
        </w:rPr>
      </w:pPr>
      <w:r>
        <w:fldChar w:fldCharType="begin"/>
      </w:r>
      <w:r>
        <w:instrText xml:space="preserve"> HYPERLINK \l "_Toc391888334" </w:instrText>
      </w:r>
      <w:r>
        <w:fldChar w:fldCharType="separate"/>
      </w:r>
      <w:r>
        <w:rPr>
          <w:rStyle w:val="17"/>
        </w:rPr>
        <w:t>11  关于精神疾病</w:t>
      </w:r>
      <w:r>
        <w:tab/>
      </w:r>
      <w:r>
        <w:rPr>
          <w:rFonts w:hint="eastAsia"/>
        </w:rPr>
        <w:t>9</w:t>
      </w:r>
      <w:r>
        <w:fldChar w:fldCharType="end"/>
      </w:r>
      <w:r>
        <w:rPr>
          <w:rFonts w:hint="eastAsia"/>
        </w:rPr>
        <w:t>2</w:t>
      </w:r>
    </w:p>
    <w:p>
      <w:pPr>
        <w:pStyle w:val="13"/>
        <w:tabs>
          <w:tab w:val="right" w:leader="dot" w:pos="8302"/>
        </w:tabs>
        <w:adjustRightInd w:val="0"/>
        <w:snapToGrid w:val="0"/>
        <w:spacing w:line="500" w:lineRule="exact"/>
        <w:rPr>
          <w:szCs w:val="22"/>
        </w:rPr>
      </w:pPr>
      <w:r>
        <w:fldChar w:fldCharType="begin"/>
      </w:r>
      <w:r>
        <w:instrText xml:space="preserve"> HYPERLINK \l "_Toc391888335" </w:instrText>
      </w:r>
      <w:r>
        <w:fldChar w:fldCharType="separate"/>
      </w:r>
      <w:r>
        <w:rPr>
          <w:rStyle w:val="17"/>
        </w:rPr>
        <w:t>12  关于结缔组织疾病</w:t>
      </w:r>
      <w:r>
        <w:tab/>
      </w:r>
      <w:r>
        <w:rPr>
          <w:rFonts w:hint="eastAsia"/>
        </w:rPr>
        <w:t>9</w:t>
      </w:r>
      <w:r>
        <w:fldChar w:fldCharType="end"/>
      </w:r>
      <w:r>
        <w:rPr>
          <w:rFonts w:hint="eastAsia"/>
        </w:rPr>
        <w:t>3</w:t>
      </w:r>
    </w:p>
    <w:p>
      <w:pPr>
        <w:pStyle w:val="13"/>
        <w:tabs>
          <w:tab w:val="right" w:leader="dot" w:pos="8302"/>
        </w:tabs>
        <w:adjustRightInd w:val="0"/>
        <w:snapToGrid w:val="0"/>
        <w:spacing w:line="500" w:lineRule="exact"/>
        <w:rPr>
          <w:szCs w:val="22"/>
        </w:rPr>
      </w:pPr>
      <w:r>
        <w:fldChar w:fldCharType="begin"/>
      </w:r>
      <w:r>
        <w:instrText xml:space="preserve"> HYPERLINK \l "_Toc391888336" </w:instrText>
      </w:r>
      <w:r>
        <w:fldChar w:fldCharType="separate"/>
      </w:r>
      <w:r>
        <w:rPr>
          <w:rStyle w:val="17"/>
        </w:rPr>
        <w:t>13  关于</w:t>
      </w:r>
      <w:r>
        <w:rPr>
          <w:rStyle w:val="17"/>
          <w:rFonts w:hint="eastAsia"/>
        </w:rPr>
        <w:t>血吸虫病和丝虫病</w:t>
      </w:r>
      <w:r>
        <w:tab/>
      </w:r>
      <w:r>
        <w:rPr>
          <w:rFonts w:hint="eastAsia"/>
        </w:rPr>
        <w:t>9</w:t>
      </w:r>
      <w:r>
        <w:fldChar w:fldCharType="end"/>
      </w:r>
      <w:r>
        <w:rPr>
          <w:rFonts w:hint="eastAsia"/>
        </w:rPr>
        <w:t>7</w:t>
      </w:r>
    </w:p>
    <w:p>
      <w:pPr>
        <w:pStyle w:val="13"/>
        <w:tabs>
          <w:tab w:val="right" w:leader="dot" w:pos="8302"/>
        </w:tabs>
        <w:adjustRightInd w:val="0"/>
        <w:snapToGrid w:val="0"/>
        <w:spacing w:line="500" w:lineRule="exact"/>
        <w:rPr>
          <w:szCs w:val="22"/>
        </w:rPr>
      </w:pPr>
      <w:r>
        <w:fldChar w:fldCharType="begin"/>
      </w:r>
      <w:r>
        <w:instrText xml:space="preserve"> HYPERLINK \l "_Toc391888336" </w:instrText>
      </w:r>
      <w:r>
        <w:fldChar w:fldCharType="separate"/>
      </w:r>
      <w:r>
        <w:rPr>
          <w:rStyle w:val="17"/>
        </w:rPr>
        <w:t>1</w:t>
      </w:r>
      <w:r>
        <w:rPr>
          <w:rStyle w:val="17"/>
          <w:rFonts w:hint="eastAsia"/>
        </w:rPr>
        <w:t>4</w:t>
      </w:r>
      <w:r>
        <w:rPr>
          <w:rStyle w:val="17"/>
        </w:rPr>
        <w:t xml:space="preserve">  关于颅脑</w:t>
      </w:r>
      <w:r>
        <w:rPr>
          <w:rStyle w:val="17"/>
          <w:rFonts w:hint="eastAsia"/>
        </w:rPr>
        <w:t>疾病及损伤</w:t>
      </w:r>
      <w:r>
        <w:tab/>
      </w:r>
      <w:r>
        <w:rPr>
          <w:rFonts w:hint="eastAsia"/>
        </w:rPr>
        <w:t>9</w:t>
      </w:r>
      <w:r>
        <w:fldChar w:fldCharType="end"/>
      </w:r>
      <w:r>
        <w:rPr>
          <w:rFonts w:hint="eastAsia"/>
        </w:rPr>
        <w:t>8</w:t>
      </w:r>
    </w:p>
    <w:p>
      <w:pPr>
        <w:pStyle w:val="13"/>
        <w:tabs>
          <w:tab w:val="right" w:leader="dot" w:pos="8302"/>
        </w:tabs>
        <w:adjustRightInd w:val="0"/>
        <w:snapToGrid w:val="0"/>
        <w:spacing w:line="500" w:lineRule="exact"/>
        <w:rPr>
          <w:szCs w:val="22"/>
        </w:rPr>
      </w:pPr>
      <w:r>
        <w:fldChar w:fldCharType="begin"/>
      </w:r>
      <w:r>
        <w:instrText xml:space="preserve"> HYPERLINK \l "_Toc391888337" </w:instrText>
      </w:r>
      <w:r>
        <w:fldChar w:fldCharType="separate"/>
      </w:r>
      <w:r>
        <w:rPr>
          <w:rStyle w:val="17"/>
        </w:rPr>
        <w:t>1</w:t>
      </w:r>
      <w:r>
        <w:rPr>
          <w:rStyle w:val="17"/>
          <w:rFonts w:hint="eastAsia"/>
        </w:rPr>
        <w:t>5</w:t>
      </w:r>
      <w:r>
        <w:rPr>
          <w:rStyle w:val="17"/>
        </w:rPr>
        <w:t xml:space="preserve">  关于骨髓炎</w:t>
      </w:r>
      <w:r>
        <w:tab/>
      </w:r>
      <w:r>
        <w:rPr>
          <w:rFonts w:hint="eastAsia"/>
        </w:rPr>
        <w:t>1</w:t>
      </w:r>
      <w:r>
        <w:fldChar w:fldCharType="end"/>
      </w:r>
      <w:r>
        <w:rPr>
          <w:rFonts w:hint="eastAsia"/>
        </w:rPr>
        <w:t>00</w:t>
      </w:r>
    </w:p>
    <w:p>
      <w:pPr>
        <w:pStyle w:val="13"/>
        <w:tabs>
          <w:tab w:val="right" w:leader="dot" w:pos="8302"/>
        </w:tabs>
        <w:adjustRightInd w:val="0"/>
        <w:snapToGrid w:val="0"/>
        <w:spacing w:line="500" w:lineRule="exact"/>
        <w:rPr>
          <w:szCs w:val="22"/>
        </w:rPr>
      </w:pPr>
      <w:r>
        <w:fldChar w:fldCharType="begin"/>
      </w:r>
      <w:r>
        <w:instrText xml:space="preserve"> HYPERLINK \l "_Toc391888338" </w:instrText>
      </w:r>
      <w:r>
        <w:fldChar w:fldCharType="separate"/>
      </w:r>
      <w:r>
        <w:rPr>
          <w:rStyle w:val="17"/>
        </w:rPr>
        <w:t>1</w:t>
      </w:r>
      <w:r>
        <w:rPr>
          <w:rStyle w:val="17"/>
          <w:rFonts w:hint="eastAsia"/>
        </w:rPr>
        <w:t>6</w:t>
      </w:r>
      <w:r>
        <w:rPr>
          <w:rStyle w:val="17"/>
        </w:rPr>
        <w:t xml:space="preserve">  关于</w:t>
      </w:r>
      <w:r>
        <w:rPr>
          <w:rStyle w:val="17"/>
          <w:rFonts w:hint="eastAsia"/>
        </w:rPr>
        <w:t>三度单纯性甲状腺肿</w:t>
      </w:r>
      <w:r>
        <w:tab/>
      </w:r>
      <w:r>
        <w:rPr>
          <w:rFonts w:hint="eastAsia"/>
        </w:rPr>
        <w:t>1</w:t>
      </w:r>
      <w:r>
        <w:fldChar w:fldCharType="end"/>
      </w:r>
      <w:r>
        <w:rPr>
          <w:rFonts w:hint="eastAsia"/>
        </w:rPr>
        <w:t>04</w:t>
      </w:r>
    </w:p>
    <w:p>
      <w:pPr>
        <w:pStyle w:val="13"/>
        <w:tabs>
          <w:tab w:val="right" w:leader="dot" w:pos="8302"/>
        </w:tabs>
        <w:adjustRightInd w:val="0"/>
        <w:snapToGrid w:val="0"/>
        <w:spacing w:line="500" w:lineRule="exact"/>
        <w:rPr>
          <w:rStyle w:val="17"/>
        </w:rPr>
      </w:pPr>
      <w:r>
        <w:rPr>
          <w:rStyle w:val="17"/>
        </w:rPr>
        <w:t>1</w:t>
      </w:r>
      <w:r>
        <w:rPr>
          <w:rStyle w:val="17"/>
          <w:rFonts w:hint="eastAsia"/>
        </w:rPr>
        <w:t>7</w:t>
      </w:r>
      <w:r>
        <w:rPr>
          <w:rStyle w:val="17"/>
        </w:rPr>
        <w:t xml:space="preserve">  关于胆结石及泌尿系结石</w:t>
      </w:r>
      <w:r>
        <w:tab/>
      </w:r>
      <w:r>
        <w:rPr>
          <w:rFonts w:hint="eastAsia"/>
        </w:rPr>
        <w:t>107</w:t>
      </w:r>
    </w:p>
    <w:p>
      <w:pPr>
        <w:pStyle w:val="13"/>
        <w:tabs>
          <w:tab w:val="right" w:leader="dot" w:pos="8302"/>
        </w:tabs>
        <w:adjustRightInd w:val="0"/>
        <w:snapToGrid w:val="0"/>
        <w:spacing w:line="500" w:lineRule="exact"/>
        <w:rPr>
          <w:szCs w:val="22"/>
        </w:rPr>
      </w:pPr>
      <w:r>
        <w:fldChar w:fldCharType="begin"/>
      </w:r>
      <w:r>
        <w:instrText xml:space="preserve"> HYPERLINK \l "_Toc391888339" </w:instrText>
      </w:r>
      <w:r>
        <w:fldChar w:fldCharType="separate"/>
      </w:r>
      <w:r>
        <w:rPr>
          <w:rStyle w:val="17"/>
        </w:rPr>
        <w:t>1</w:t>
      </w:r>
      <w:r>
        <w:rPr>
          <w:rStyle w:val="17"/>
          <w:rFonts w:hint="eastAsia"/>
        </w:rPr>
        <w:t>8</w:t>
      </w:r>
      <w:r>
        <w:rPr>
          <w:rStyle w:val="17"/>
        </w:rPr>
        <w:t xml:space="preserve">  关于性传播疾病</w:t>
      </w:r>
      <w:r>
        <w:tab/>
      </w:r>
      <w:r>
        <w:fldChar w:fldCharType="begin"/>
      </w:r>
      <w:r>
        <w:instrText xml:space="preserve"> PAGEREF _Toc391888339 \h </w:instrText>
      </w:r>
      <w:r>
        <w:fldChar w:fldCharType="separate"/>
      </w:r>
      <w:r>
        <w:rPr>
          <w:rFonts w:hint="eastAsia"/>
        </w:rPr>
        <w:t>11</w:t>
      </w:r>
      <w:r>
        <w:fldChar w:fldCharType="end"/>
      </w:r>
      <w:r>
        <w:fldChar w:fldCharType="end"/>
      </w:r>
      <w:r>
        <w:rPr>
          <w:rFonts w:hint="eastAsia"/>
        </w:rPr>
        <w:t>1</w:t>
      </w:r>
    </w:p>
    <w:p>
      <w:pPr>
        <w:pStyle w:val="13"/>
        <w:tabs>
          <w:tab w:val="right" w:leader="dot" w:pos="8302"/>
        </w:tabs>
        <w:adjustRightInd w:val="0"/>
        <w:snapToGrid w:val="0"/>
        <w:spacing w:line="500" w:lineRule="exact"/>
        <w:rPr>
          <w:szCs w:val="22"/>
        </w:rPr>
      </w:pPr>
      <w:r>
        <w:fldChar w:fldCharType="begin"/>
      </w:r>
      <w:r>
        <w:instrText xml:space="preserve"> HYPERLINK \l "_Toc391888340" </w:instrText>
      </w:r>
      <w:r>
        <w:fldChar w:fldCharType="separate"/>
      </w:r>
      <w:r>
        <w:rPr>
          <w:rStyle w:val="17"/>
        </w:rPr>
        <w:t>1</w:t>
      </w:r>
      <w:r>
        <w:rPr>
          <w:rStyle w:val="17"/>
          <w:rFonts w:hint="eastAsia"/>
        </w:rPr>
        <w:t>9</w:t>
      </w:r>
      <w:r>
        <w:rPr>
          <w:rStyle w:val="17"/>
        </w:rPr>
        <w:t xml:space="preserve">  关于视力及眼科疾病</w:t>
      </w:r>
      <w:r>
        <w:tab/>
      </w:r>
      <w:r>
        <w:rPr>
          <w:rFonts w:hint="eastAsia"/>
        </w:rPr>
        <w:t>1</w:t>
      </w:r>
      <w:r>
        <w:fldChar w:fldCharType="end"/>
      </w:r>
      <w:r>
        <w:rPr>
          <w:rFonts w:hint="eastAsia"/>
        </w:rPr>
        <w:t>15</w:t>
      </w:r>
    </w:p>
    <w:p>
      <w:pPr>
        <w:pStyle w:val="13"/>
        <w:tabs>
          <w:tab w:val="right" w:leader="dot" w:pos="8302"/>
        </w:tabs>
        <w:adjustRightInd w:val="0"/>
        <w:snapToGrid w:val="0"/>
        <w:spacing w:line="500" w:lineRule="exact"/>
        <w:rPr>
          <w:szCs w:val="22"/>
        </w:rPr>
      </w:pPr>
      <w:r>
        <w:fldChar w:fldCharType="begin"/>
      </w:r>
      <w:r>
        <w:instrText xml:space="preserve"> HYPERLINK \l "_Toc391888341" </w:instrText>
      </w:r>
      <w:r>
        <w:fldChar w:fldCharType="separate"/>
      </w:r>
      <w:r>
        <w:rPr>
          <w:rStyle w:val="17"/>
          <w:rFonts w:hint="eastAsia"/>
        </w:rPr>
        <w:t>20</w:t>
      </w:r>
      <w:r>
        <w:rPr>
          <w:rStyle w:val="17"/>
        </w:rPr>
        <w:t xml:space="preserve">  关于听力及耳鼻喉科疾病</w:t>
      </w:r>
      <w:r>
        <w:tab/>
      </w:r>
      <w:r>
        <w:rPr>
          <w:rFonts w:hint="eastAsia"/>
        </w:rPr>
        <w:t>1</w:t>
      </w:r>
      <w:r>
        <w:fldChar w:fldCharType="end"/>
      </w:r>
      <w:r>
        <w:rPr>
          <w:rFonts w:hint="eastAsia"/>
        </w:rPr>
        <w:t>21</w:t>
      </w:r>
    </w:p>
    <w:p>
      <w:pPr>
        <w:pStyle w:val="13"/>
        <w:tabs>
          <w:tab w:val="right" w:leader="dot" w:pos="8302"/>
        </w:tabs>
        <w:adjustRightInd w:val="0"/>
        <w:snapToGrid w:val="0"/>
        <w:spacing w:line="500" w:lineRule="exact"/>
        <w:rPr>
          <w:szCs w:val="22"/>
        </w:rPr>
      </w:pPr>
      <w:r>
        <w:fldChar w:fldCharType="begin"/>
      </w:r>
      <w:r>
        <w:instrText xml:space="preserve"> HYPERLINK \l "_Toc391888342" </w:instrText>
      </w:r>
      <w:r>
        <w:fldChar w:fldCharType="separate"/>
      </w:r>
      <w:r>
        <w:rPr>
          <w:rStyle w:val="17"/>
          <w:rFonts w:hint="eastAsia"/>
        </w:rPr>
        <w:t>21</w:t>
      </w:r>
      <w:r>
        <w:rPr>
          <w:rStyle w:val="17"/>
        </w:rPr>
        <w:t xml:space="preserve">  关于其他严重疾病</w:t>
      </w:r>
      <w:r>
        <w:tab/>
      </w:r>
      <w:r>
        <w:rPr>
          <w:rFonts w:hint="eastAsia"/>
        </w:rPr>
        <w:t>1</w:t>
      </w:r>
      <w:r>
        <w:fldChar w:fldCharType="end"/>
      </w:r>
      <w:r>
        <w:rPr>
          <w:rFonts w:hint="eastAsia"/>
        </w:rPr>
        <w:t>27</w:t>
      </w:r>
    </w:p>
    <w:p>
      <w:pPr>
        <w:pStyle w:val="11"/>
        <w:tabs>
          <w:tab w:val="right" w:leader="dot" w:pos="8302"/>
        </w:tabs>
        <w:adjustRightInd w:val="0"/>
        <w:snapToGrid w:val="0"/>
        <w:spacing w:line="500" w:lineRule="exact"/>
        <w:rPr>
          <w:szCs w:val="22"/>
        </w:rPr>
      </w:pPr>
      <w:r>
        <w:fldChar w:fldCharType="begin"/>
      </w:r>
      <w:r>
        <w:instrText xml:space="preserve"> HYPERLINK \l "_Toc391888343" </w:instrText>
      </w:r>
      <w:r>
        <w:fldChar w:fldCharType="separate"/>
      </w:r>
      <w:r>
        <w:rPr>
          <w:rStyle w:val="17"/>
        </w:rPr>
        <w:t>附录A  公务员录用体检常规检查项目</w:t>
      </w:r>
      <w:r>
        <w:tab/>
      </w:r>
      <w:r>
        <w:rPr>
          <w:rFonts w:hint="eastAsia"/>
        </w:rPr>
        <w:t>1</w:t>
      </w:r>
      <w:r>
        <w:fldChar w:fldCharType="end"/>
      </w:r>
      <w:r>
        <w:rPr>
          <w:rFonts w:hint="eastAsia"/>
        </w:rPr>
        <w:t>29</w:t>
      </w:r>
    </w:p>
    <w:p>
      <w:pPr>
        <w:pStyle w:val="11"/>
        <w:tabs>
          <w:tab w:val="right" w:leader="dot" w:pos="8302"/>
        </w:tabs>
        <w:adjustRightInd w:val="0"/>
        <w:snapToGrid w:val="0"/>
        <w:spacing w:line="500" w:lineRule="exact"/>
        <w:rPr>
          <w:szCs w:val="22"/>
        </w:rPr>
      </w:pPr>
      <w:r>
        <w:fldChar w:fldCharType="begin"/>
      </w:r>
      <w:r>
        <w:instrText xml:space="preserve"> HYPERLINK \l "_Toc391888344" </w:instrText>
      </w:r>
      <w:r>
        <w:fldChar w:fldCharType="separate"/>
      </w:r>
      <w:r>
        <w:rPr>
          <w:rStyle w:val="17"/>
        </w:rPr>
        <w:t>附录B  视力小数记录折算5分记录对照表</w:t>
      </w:r>
      <w:r>
        <w:tab/>
      </w:r>
      <w:r>
        <w:rPr>
          <w:rFonts w:hint="eastAsia"/>
        </w:rPr>
        <w:t>1</w:t>
      </w:r>
      <w:r>
        <w:fldChar w:fldCharType="end"/>
      </w:r>
      <w:r>
        <w:rPr>
          <w:rFonts w:hint="eastAsia"/>
        </w:rPr>
        <w:t>31</w:t>
      </w:r>
    </w:p>
    <w:p>
      <w:pPr>
        <w:pStyle w:val="11"/>
        <w:tabs>
          <w:tab w:val="right" w:leader="dot" w:pos="8302"/>
        </w:tabs>
        <w:adjustRightInd w:val="0"/>
        <w:snapToGrid w:val="0"/>
        <w:spacing w:line="500" w:lineRule="exact"/>
        <w:rPr>
          <w:szCs w:val="22"/>
        </w:rPr>
      </w:pPr>
      <w:r>
        <w:fldChar w:fldCharType="begin"/>
      </w:r>
      <w:r>
        <w:instrText xml:space="preserve"> HYPERLINK \l "_Toc391888345" </w:instrText>
      </w:r>
      <w:r>
        <w:fldChar w:fldCharType="separate"/>
      </w:r>
      <w:r>
        <w:rPr>
          <w:rStyle w:val="17"/>
        </w:rPr>
        <w:t>附录C  实验室检查相关要求</w:t>
      </w:r>
      <w:r>
        <w:tab/>
      </w:r>
      <w:r>
        <w:rPr>
          <w:rFonts w:hint="eastAsia"/>
        </w:rPr>
        <w:t>1</w:t>
      </w:r>
      <w:r>
        <w:fldChar w:fldCharType="end"/>
      </w:r>
      <w:r>
        <w:rPr>
          <w:rFonts w:hint="eastAsia"/>
        </w:rPr>
        <w:t>31</w:t>
      </w:r>
    </w:p>
    <w:p>
      <w:pPr>
        <w:pStyle w:val="13"/>
        <w:tabs>
          <w:tab w:val="right" w:leader="dot" w:pos="8302"/>
        </w:tabs>
        <w:adjustRightInd w:val="0"/>
        <w:snapToGrid w:val="0"/>
        <w:spacing w:line="500" w:lineRule="exact"/>
        <w:rPr>
          <w:szCs w:val="22"/>
        </w:rPr>
      </w:pPr>
      <w:r>
        <w:fldChar w:fldCharType="begin"/>
      </w:r>
      <w:r>
        <w:instrText xml:space="preserve"> HYPERLINK \l "_Toc391888346" </w:instrText>
      </w:r>
      <w:r>
        <w:fldChar w:fldCharType="separate"/>
      </w:r>
      <w:r>
        <w:rPr>
          <w:rStyle w:val="17"/>
        </w:rPr>
        <w:t>C1  检验科操作程序</w:t>
      </w:r>
      <w:r>
        <w:tab/>
      </w:r>
      <w:r>
        <w:rPr>
          <w:rFonts w:hint="eastAsia"/>
        </w:rPr>
        <w:t>1</w:t>
      </w:r>
      <w:r>
        <w:fldChar w:fldCharType="end"/>
      </w:r>
      <w:r>
        <w:rPr>
          <w:rFonts w:hint="eastAsia"/>
        </w:rPr>
        <w:t>32</w:t>
      </w:r>
    </w:p>
    <w:p>
      <w:pPr>
        <w:pStyle w:val="13"/>
        <w:tabs>
          <w:tab w:val="right" w:leader="dot" w:pos="8302"/>
        </w:tabs>
        <w:adjustRightInd w:val="0"/>
        <w:snapToGrid w:val="0"/>
        <w:spacing w:line="500" w:lineRule="exact"/>
        <w:rPr>
          <w:szCs w:val="22"/>
        </w:rPr>
      </w:pPr>
      <w:r>
        <w:fldChar w:fldCharType="begin"/>
      </w:r>
      <w:r>
        <w:instrText xml:space="preserve"> HYPERLINK \l "_Toc391888347" </w:instrText>
      </w:r>
      <w:r>
        <w:fldChar w:fldCharType="separate"/>
      </w:r>
      <w:r>
        <w:rPr>
          <w:rStyle w:val="17"/>
        </w:rPr>
        <w:t>C2  采血室操作规程</w:t>
      </w:r>
      <w:r>
        <w:tab/>
      </w:r>
      <w:r>
        <w:rPr>
          <w:rFonts w:hint="eastAsia"/>
        </w:rPr>
        <w:t>1</w:t>
      </w:r>
      <w:r>
        <w:fldChar w:fldCharType="end"/>
      </w:r>
      <w:r>
        <w:rPr>
          <w:rFonts w:hint="eastAsia"/>
        </w:rPr>
        <w:t>33</w:t>
      </w:r>
    </w:p>
    <w:p>
      <w:pPr>
        <w:pStyle w:val="13"/>
        <w:tabs>
          <w:tab w:val="right" w:leader="dot" w:pos="8302"/>
        </w:tabs>
        <w:adjustRightInd w:val="0"/>
        <w:snapToGrid w:val="0"/>
        <w:spacing w:line="500" w:lineRule="exact"/>
        <w:rPr>
          <w:b/>
          <w:bCs/>
        </w:rPr>
      </w:pPr>
      <w:r>
        <w:fldChar w:fldCharType="begin"/>
      </w:r>
      <w:r>
        <w:instrText xml:space="preserve"> HYPERLINK \l "_Toc391888348" </w:instrText>
      </w:r>
      <w:r>
        <w:fldChar w:fldCharType="separate"/>
      </w:r>
      <w:r>
        <w:rPr>
          <w:rStyle w:val="17"/>
        </w:rPr>
        <w:t>C3  艾滋病检测初筛实验室必备条件</w:t>
      </w:r>
      <w:r>
        <w:tab/>
      </w:r>
      <w:r>
        <w:rPr>
          <w:rFonts w:hint="eastAsia"/>
        </w:rPr>
        <w:t>1</w:t>
      </w:r>
      <w:r>
        <w:fldChar w:fldCharType="end"/>
      </w:r>
      <w:r>
        <w:fldChar w:fldCharType="end"/>
      </w:r>
      <w:r>
        <w:rPr>
          <w:rFonts w:hint="eastAsia"/>
        </w:rPr>
        <w:t>34</w:t>
      </w:r>
    </w:p>
    <w:p>
      <w:pPr>
        <w:adjustRightInd w:val="0"/>
        <w:snapToGrid w:val="0"/>
        <w:spacing w:line="500" w:lineRule="exact"/>
        <w:rPr>
          <w:rFonts w:hint="eastAsia" w:eastAsia="宋体"/>
          <w:lang w:val="en-US" w:eastAsia="zh-CN"/>
        </w:rPr>
      </w:pPr>
      <w:r>
        <w:fldChar w:fldCharType="begin"/>
      </w:r>
      <w:r>
        <w:instrText xml:space="preserve"> HYPERLINK \l "_Toc391888345" </w:instrText>
      </w:r>
      <w:r>
        <w:fldChar w:fldCharType="separate"/>
      </w:r>
      <w:r>
        <w:rPr>
          <w:rStyle w:val="17"/>
        </w:rPr>
        <w:t>附录</w:t>
      </w:r>
      <w:r>
        <w:rPr>
          <w:rStyle w:val="17"/>
          <w:rFonts w:hint="eastAsia"/>
        </w:rPr>
        <w:t>D</w:t>
      </w:r>
      <w:r>
        <w:rPr>
          <w:rStyle w:val="17"/>
        </w:rPr>
        <w:t xml:space="preserve">  </w:t>
      </w:r>
      <w:r>
        <w:rPr>
          <w:rStyle w:val="17"/>
          <w:rFonts w:hint="eastAsia"/>
        </w:rPr>
        <w:t>公</w:t>
      </w:r>
      <w:r>
        <w:fldChar w:fldCharType="end"/>
      </w:r>
      <w:r>
        <w:rPr>
          <w:rFonts w:hint="eastAsia"/>
        </w:rPr>
        <w:t>务员录用体检表</w:t>
      </w:r>
      <w:r>
        <w:tab/>
      </w:r>
      <w:r>
        <w:rPr>
          <w:rFonts w:ascii="Arial" w:hAnsi="Arial" w:cs="Arial"/>
        </w:rPr>
        <w:t>……………………………………………………………………</w:t>
      </w:r>
      <w:r>
        <w:rPr>
          <w:rFonts w:hint="eastAsia" w:eastAsia="仿宋"/>
        </w:rPr>
        <w:t>135</w:t>
      </w:r>
      <w:r>
        <w:tab/>
      </w:r>
      <w:r>
        <w:rPr>
          <w:rFonts w:hint="eastAsia"/>
          <w:lang w:val="en-US" w:eastAsia="zh-CN"/>
        </w:rPr>
        <w:t>www.jieyoutijian.com</w:t>
      </w:r>
    </w:p>
    <w:p>
      <w:pPr>
        <w:pStyle w:val="2"/>
        <w:adjustRightInd w:val="0"/>
        <w:snapToGrid w:val="0"/>
        <w:spacing w:before="0" w:after="0" w:line="500" w:lineRule="exact"/>
        <w:jc w:val="center"/>
        <w:rPr>
          <w:sz w:val="32"/>
          <w:szCs w:val="32"/>
        </w:rPr>
      </w:pPr>
      <w:bookmarkStart w:id="0" w:name="_Toc391888308"/>
      <w:r>
        <w:rPr>
          <w:sz w:val="32"/>
          <w:szCs w:val="32"/>
        </w:rPr>
        <w:br w:type="page"/>
      </w:r>
      <w:r>
        <w:rPr>
          <w:sz w:val="32"/>
          <w:szCs w:val="32"/>
        </w:rPr>
        <w:t>第1篇  体检项目及操作规程</w:t>
      </w:r>
      <w:bookmarkEnd w:id="0"/>
    </w:p>
    <w:p>
      <w:pPr>
        <w:adjustRightInd w:val="0"/>
        <w:snapToGrid w:val="0"/>
        <w:spacing w:line="500" w:lineRule="exact"/>
      </w:pPr>
    </w:p>
    <w:p>
      <w:pPr>
        <w:adjustRightInd w:val="0"/>
        <w:snapToGrid w:val="0"/>
        <w:spacing w:line="500" w:lineRule="exact"/>
        <w:ind w:firstLine="420" w:firstLineChars="200"/>
        <w:rPr>
          <w:color w:val="000000"/>
          <w:szCs w:val="19"/>
        </w:rPr>
      </w:pPr>
      <w:r>
        <w:rPr>
          <w:color w:val="000000"/>
          <w:szCs w:val="19"/>
        </w:rPr>
        <w:t>公务员录用体检包括以下各科检查项目。体检中如果发现阳性或可疑阳性体征不能确定疾病性质需要进一步检查确诊的，可由主检医生根据具体情况适当增加检查项目，以便明确诊断并作出是否合格的体检结论。</w:t>
      </w:r>
    </w:p>
    <w:p>
      <w:pPr>
        <w:pStyle w:val="3"/>
        <w:adjustRightInd w:val="0"/>
        <w:snapToGrid w:val="0"/>
        <w:spacing w:before="0" w:after="0" w:line="500" w:lineRule="exact"/>
        <w:rPr>
          <w:rFonts w:ascii="Times New Roman" w:hAnsi="Times New Roman"/>
          <w:sz w:val="21"/>
          <w:szCs w:val="21"/>
        </w:rPr>
      </w:pPr>
      <w:bookmarkStart w:id="1" w:name="_Toc391888309"/>
      <w:r>
        <w:rPr>
          <w:rFonts w:ascii="Times New Roman" w:hAnsi="Times New Roman"/>
          <w:sz w:val="21"/>
          <w:szCs w:val="21"/>
        </w:rPr>
        <w:t>1  临床检查</w:t>
      </w:r>
      <w:bookmarkEnd w:id="1"/>
    </w:p>
    <w:p>
      <w:pPr>
        <w:pStyle w:val="4"/>
        <w:adjustRightInd w:val="0"/>
        <w:snapToGrid w:val="0"/>
        <w:spacing w:before="0" w:after="0" w:line="500" w:lineRule="exact"/>
        <w:rPr>
          <w:sz w:val="21"/>
          <w:szCs w:val="21"/>
        </w:rPr>
      </w:pPr>
      <w:bookmarkStart w:id="2" w:name="_Toc391888310"/>
      <w:r>
        <w:rPr>
          <w:rFonts w:hint="eastAsia"/>
          <w:sz w:val="21"/>
          <w:szCs w:val="21"/>
        </w:rPr>
        <w:t xml:space="preserve">    </w:t>
      </w:r>
      <w:r>
        <w:rPr>
          <w:sz w:val="21"/>
          <w:szCs w:val="21"/>
        </w:rPr>
        <w:t>1.1  一般检查</w:t>
      </w:r>
      <w:bookmarkEnd w:id="2"/>
    </w:p>
    <w:p>
      <w:pPr>
        <w:adjustRightInd w:val="0"/>
        <w:snapToGrid w:val="0"/>
        <w:spacing w:line="500" w:lineRule="exact"/>
        <w:ind w:firstLine="420" w:firstLineChars="200"/>
      </w:pPr>
      <w:r>
        <w:t>1.1.1  人体测量</w:t>
      </w:r>
    </w:p>
    <w:p>
      <w:pPr>
        <w:adjustRightInd w:val="0"/>
        <w:snapToGrid w:val="0"/>
        <w:spacing w:line="500" w:lineRule="exact"/>
        <w:ind w:firstLine="420" w:firstLineChars="200"/>
      </w:pPr>
      <w:r>
        <w:t>1）身高：受检者脱鞋，立正姿势站于身高计平板上，枕部、臀部、足跟三点紧靠标尺，头正，两眼平视，身高计水平尺紧贴头顶，以厘米（</w:t>
      </w:r>
      <w:r>
        <w:rPr>
          <w:rFonts w:hint="eastAsia"/>
        </w:rPr>
        <w:t>cm</w:t>
      </w:r>
      <w:r>
        <w:t>）为单位记录。</w:t>
      </w:r>
    </w:p>
    <w:p>
      <w:pPr>
        <w:adjustRightInd w:val="0"/>
        <w:snapToGrid w:val="0"/>
        <w:spacing w:line="500" w:lineRule="exact"/>
        <w:ind w:firstLine="420" w:firstLineChars="200"/>
      </w:pPr>
      <w:r>
        <w:t>2）体重：检查前应将体重计校正到零点，受检者应脱去上衣外套（留衬衣），自然平稳地站立于体重计踏板中央，防止摇晃或施压，以公斤（kg）为单位记录。</w:t>
      </w:r>
    </w:p>
    <w:p>
      <w:pPr>
        <w:adjustRightInd w:val="0"/>
        <w:snapToGrid w:val="0"/>
        <w:spacing w:line="500" w:lineRule="exact"/>
        <w:ind w:firstLine="420" w:firstLineChars="200"/>
      </w:pPr>
      <w:r>
        <w:t xml:space="preserve">1.1.2  血压测量  </w:t>
      </w:r>
    </w:p>
    <w:p>
      <w:pPr>
        <w:adjustRightInd w:val="0"/>
        <w:snapToGrid w:val="0"/>
        <w:spacing w:line="500" w:lineRule="exact"/>
        <w:ind w:firstLine="420"/>
      </w:pPr>
      <w:r>
        <w:t>使用标准血压计是测量结果准确的重要因素。必须按要求对该设备定期检定和维护，才能保证测量的正确。根据</w:t>
      </w:r>
      <w:r>
        <w:rPr>
          <w:kern w:val="0"/>
          <w:szCs w:val="21"/>
        </w:rPr>
        <w:t>中国高血压防治指南（2013年修订版）要求，选择符合计量标准的水银柱血压计，或者经国际标准（BHS和AA</w:t>
      </w:r>
      <w:r>
        <w:rPr>
          <w:rFonts w:hint="eastAsia"/>
          <w:kern w:val="0"/>
          <w:szCs w:val="21"/>
        </w:rPr>
        <w:t>M</w:t>
      </w:r>
      <w:r>
        <w:rPr>
          <w:kern w:val="0"/>
          <w:szCs w:val="21"/>
        </w:rPr>
        <w:t>I）检验合格的电子血压计进行测量。</w:t>
      </w:r>
      <w:r>
        <w:t>目前临床上仍普</w:t>
      </w:r>
      <w:r>
        <w:rPr>
          <w:szCs w:val="21"/>
        </w:rPr>
        <w:t>遍采用</w:t>
      </w:r>
      <w:r>
        <w:rPr>
          <w:kern w:val="0"/>
          <w:szCs w:val="21"/>
        </w:rPr>
        <w:t>符合计量标准的水银柱血压计进行</w:t>
      </w:r>
      <w:r>
        <w:rPr>
          <w:szCs w:val="21"/>
        </w:rPr>
        <w:t>血</w:t>
      </w:r>
      <w:r>
        <w:t>压测量。</w:t>
      </w:r>
      <w:r>
        <w:rPr>
          <w:kern w:val="0"/>
          <w:szCs w:val="21"/>
        </w:rPr>
        <w:t>鉴于我国对电子血压计是否经过上述国际标准验证尚缺乏有效监管，加上</w:t>
      </w:r>
      <w:r>
        <w:t>目前市场上的电子血压计良莠不齐，故其准确性受到质疑。</w:t>
      </w:r>
    </w:p>
    <w:p>
      <w:pPr>
        <w:adjustRightInd w:val="0"/>
        <w:snapToGrid w:val="0"/>
        <w:spacing w:line="500" w:lineRule="exact"/>
        <w:ind w:firstLine="420"/>
      </w:pPr>
      <w:r>
        <w:t>名词解释：</w:t>
      </w:r>
      <w:r>
        <w:rPr>
          <w:kern w:val="0"/>
          <w:szCs w:val="21"/>
        </w:rPr>
        <w:t>BHS（英国高血压学会）、AA</w:t>
      </w:r>
      <w:r>
        <w:rPr>
          <w:rFonts w:hint="eastAsia"/>
          <w:kern w:val="0"/>
          <w:szCs w:val="21"/>
        </w:rPr>
        <w:t>M</w:t>
      </w:r>
      <w:r>
        <w:rPr>
          <w:kern w:val="0"/>
          <w:szCs w:val="21"/>
        </w:rPr>
        <w:t>I（美国</w:t>
      </w:r>
      <w:r>
        <w:rPr>
          <w:szCs w:val="21"/>
        </w:rPr>
        <w:t>医疗器械检测</w:t>
      </w:r>
      <w:r>
        <w:rPr>
          <w:kern w:val="0"/>
          <w:szCs w:val="21"/>
        </w:rPr>
        <w:t>协会）。</w:t>
      </w:r>
    </w:p>
    <w:p>
      <w:pPr>
        <w:autoSpaceDE w:val="0"/>
        <w:autoSpaceDN w:val="0"/>
        <w:adjustRightInd w:val="0"/>
        <w:snapToGrid w:val="0"/>
        <w:spacing w:line="500" w:lineRule="exact"/>
        <w:ind w:firstLine="420" w:firstLineChars="200"/>
        <w:jc w:val="left"/>
        <w:rPr>
          <w:szCs w:val="21"/>
        </w:rPr>
      </w:pPr>
      <w:r>
        <w:rPr>
          <w:kern w:val="0"/>
          <w:szCs w:val="21"/>
        </w:rPr>
        <w:t>目前，水银柱式血压计多年来的应用结果令人信服。</w:t>
      </w:r>
      <w:r>
        <w:rPr>
          <w:szCs w:val="21"/>
        </w:rPr>
        <w:t>鉴于血压值的准确与否直接关系到体检结论，因此，目前阶段诊室血压还是应使用</w:t>
      </w:r>
      <w:r>
        <w:rPr>
          <w:kern w:val="0"/>
          <w:szCs w:val="21"/>
        </w:rPr>
        <w:t>水银柱式血压计进行测量</w:t>
      </w:r>
      <w:r>
        <w:rPr>
          <w:szCs w:val="21"/>
        </w:rPr>
        <w:t>。</w:t>
      </w:r>
    </w:p>
    <w:p>
      <w:pPr>
        <w:autoSpaceDE w:val="0"/>
        <w:autoSpaceDN w:val="0"/>
        <w:adjustRightInd w:val="0"/>
        <w:snapToGrid w:val="0"/>
        <w:spacing w:line="500" w:lineRule="exact"/>
        <w:ind w:firstLine="420" w:firstLineChars="200"/>
        <w:jc w:val="left"/>
        <w:rPr>
          <w:kern w:val="0"/>
          <w:sz w:val="20"/>
          <w:szCs w:val="20"/>
        </w:rPr>
      </w:pPr>
      <w:r>
        <w:t>1）测量前准备：因血压易受多种因素影响，所以受检考生在安静环境下至少休息5分钟再进行测量。</w:t>
      </w:r>
      <w:r>
        <w:rPr>
          <w:kern w:val="0"/>
          <w:sz w:val="20"/>
          <w:szCs w:val="20"/>
        </w:rPr>
        <w:t xml:space="preserve"> </w:t>
      </w:r>
    </w:p>
    <w:p>
      <w:pPr>
        <w:adjustRightInd w:val="0"/>
        <w:snapToGrid w:val="0"/>
        <w:spacing w:line="500" w:lineRule="exact"/>
        <w:ind w:firstLine="420" w:firstLineChars="200"/>
      </w:pPr>
      <w:r>
        <w:t xml:space="preserve">2）检查体位：受检者取坐位。 </w:t>
      </w:r>
    </w:p>
    <w:p>
      <w:pPr>
        <w:adjustRightInd w:val="0"/>
        <w:snapToGrid w:val="0"/>
        <w:spacing w:line="500" w:lineRule="exact"/>
        <w:ind w:firstLine="420" w:firstLineChars="200"/>
      </w:pPr>
      <w:r>
        <w:t xml:space="preserve">3）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w:t>
      </w:r>
      <w:r>
        <w:rPr>
          <w:rFonts w:hint="eastAsia"/>
        </w:rPr>
        <w:t>厘米</w:t>
      </w:r>
      <w:r>
        <w:t>处。将听诊器胸件（不能用钟型件）放在肱动脉搏动最明显处，但不应插入袖带下，压力适度，用右手向气囊内注气。</w:t>
      </w:r>
    </w:p>
    <w:p>
      <w:pPr>
        <w:adjustRightInd w:val="0"/>
        <w:snapToGrid w:val="0"/>
        <w:spacing w:line="500" w:lineRule="exact"/>
        <w:ind w:firstLine="420" w:firstLineChars="200"/>
      </w:pPr>
      <w:r>
        <w:t>4）最高充气压：袖带充压至肱动脉搏动消失后再升高20～30</w:t>
      </w:r>
      <w:r>
        <w:rPr>
          <w:rFonts w:hint="eastAsia"/>
        </w:rPr>
        <w:t>mm</w:t>
      </w:r>
      <w:r>
        <w:t xml:space="preserve"> Hg，然后放气，使水银柱缓慢下降，放气速度约为2</w:t>
      </w:r>
      <w:r>
        <w:rPr>
          <w:rFonts w:hint="eastAsia"/>
        </w:rPr>
        <w:t xml:space="preserve">mm </w:t>
      </w:r>
      <w:r>
        <w:t>Hg/s。听到的第1次声响的汞柱数值为收缩压，声音消失时的汞柱数值为舒张压。</w:t>
      </w:r>
    </w:p>
    <w:p>
      <w:pPr>
        <w:adjustRightInd w:val="0"/>
        <w:snapToGrid w:val="0"/>
        <w:spacing w:line="500" w:lineRule="exact"/>
        <w:ind w:firstLine="420" w:firstLineChars="200"/>
      </w:pPr>
      <w:r>
        <w:t>5）血压读数：取水银液面顶端，平视刻度值，且尾数只能取为偶数，记录单位为</w:t>
      </w:r>
      <w:r>
        <w:rPr>
          <w:rFonts w:hint="eastAsia"/>
        </w:rPr>
        <w:t>mm</w:t>
      </w:r>
      <w:r>
        <w:t xml:space="preserve"> Hg。</w:t>
      </w:r>
    </w:p>
    <w:p>
      <w:pPr>
        <w:pStyle w:val="4"/>
        <w:adjustRightInd w:val="0"/>
        <w:snapToGrid w:val="0"/>
        <w:spacing w:before="0" w:after="0" w:line="500" w:lineRule="exact"/>
        <w:rPr>
          <w:sz w:val="21"/>
          <w:szCs w:val="21"/>
        </w:rPr>
      </w:pPr>
      <w:bookmarkStart w:id="3" w:name="_Toc391888311"/>
      <w:r>
        <w:rPr>
          <w:rFonts w:hint="eastAsia"/>
          <w:sz w:val="21"/>
          <w:szCs w:val="21"/>
        </w:rPr>
        <w:t xml:space="preserve">    </w:t>
      </w:r>
      <w:r>
        <w:rPr>
          <w:sz w:val="21"/>
          <w:szCs w:val="21"/>
        </w:rPr>
        <w:t>1.2  内科检查</w:t>
      </w:r>
      <w:bookmarkEnd w:id="3"/>
    </w:p>
    <w:p>
      <w:pPr>
        <w:adjustRightInd w:val="0"/>
        <w:snapToGrid w:val="0"/>
        <w:spacing w:line="500" w:lineRule="exact"/>
        <w:ind w:firstLine="420" w:firstLineChars="200"/>
      </w:pPr>
      <w:r>
        <w:t>1.2.1  病史搜集  含既往病史、个人史、家族史、不适症状，应按系统顺序，边查边问，重点询问有无经正规医院确诊的慢性病、精神疾病及传染病史等，目前用药情况及治疗效果。</w:t>
      </w:r>
    </w:p>
    <w:p>
      <w:pPr>
        <w:adjustRightInd w:val="0"/>
        <w:snapToGrid w:val="0"/>
        <w:spacing w:line="500" w:lineRule="exact"/>
        <w:ind w:firstLine="420" w:firstLineChars="200"/>
      </w:pPr>
      <w:r>
        <w:t>1.2.2  心脏检查  含望诊、触诊、叩诊、听诊，以叩诊及听诊为主，对于判断有无器质性心脏病以及心脏病的病因、性质、部位、程度等，均具有重要意义。结合心电图及X线、超声心动图等检查，常可对许多心脏病作出初步的诊断。</w:t>
      </w:r>
    </w:p>
    <w:p>
      <w:pPr>
        <w:adjustRightInd w:val="0"/>
        <w:snapToGrid w:val="0"/>
        <w:spacing w:line="500" w:lineRule="exact"/>
        <w:ind w:firstLine="420" w:firstLineChars="200"/>
      </w:pPr>
      <w:r>
        <w:t>1）检查体位：受检者取平卧位，在安静状态下进行。二尖瓣区有可疑病理性杂音时，可取左侧卧位，用钟型胸件听诊最为清楚。</w:t>
      </w:r>
    </w:p>
    <w:p>
      <w:pPr>
        <w:adjustRightInd w:val="0"/>
        <w:snapToGrid w:val="0"/>
        <w:spacing w:line="500" w:lineRule="exact"/>
        <w:ind w:firstLine="420" w:firstLineChars="200"/>
      </w:pPr>
      <w:r>
        <w:t>2）望诊：观察心尖搏动的位置、强度、范围、节律、频度有无异常，心前区外形，同时还应注意观察受检者一般情况，注意有无发绀、苍白、杵状指、生长发育异常等。</w:t>
      </w:r>
    </w:p>
    <w:p>
      <w:pPr>
        <w:adjustRightInd w:val="0"/>
        <w:snapToGrid w:val="0"/>
        <w:spacing w:line="500" w:lineRule="exact"/>
        <w:ind w:firstLine="420" w:firstLineChars="200"/>
      </w:pPr>
      <w:r>
        <w:t>3）触诊：注意心尖搏动的位置、范围、强弱及有无震颤，有无心包摩擦感。依震颤出现的时间可分为收缩期、舒张期及连续性震颤，结合震颤出现的部位判断其临床意义（见表1）。</w:t>
      </w:r>
    </w:p>
    <w:p>
      <w:pPr>
        <w:adjustRightInd w:val="0"/>
        <w:snapToGrid w:val="0"/>
        <w:spacing w:line="500" w:lineRule="exact"/>
        <w:jc w:val="center"/>
        <w:rPr>
          <w:b/>
          <w:bCs/>
        </w:rPr>
      </w:pPr>
      <w:r>
        <w:rPr>
          <w:b/>
          <w:bCs/>
        </w:rPr>
        <w:t>表1  心脏各种震颤的临床意义</w:t>
      </w:r>
    </w:p>
    <w:tbl>
      <w:tblPr>
        <w:tblStyle w:val="14"/>
        <w:tblW w:w="0" w:type="auto"/>
        <w:tblInd w:w="0" w:type="dxa"/>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cantSplit/>
        </w:trPr>
        <w:tc>
          <w:tcPr>
            <w:tcW w:w="1662" w:type="dxa"/>
            <w:noWrap w:val="0"/>
            <w:vAlign w:val="center"/>
          </w:tcPr>
          <w:p>
            <w:pPr>
              <w:adjustRightInd w:val="0"/>
              <w:snapToGrid w:val="0"/>
              <w:spacing w:line="500" w:lineRule="exact"/>
            </w:pPr>
            <w:r>
              <w:t>出现时间</w:t>
            </w:r>
          </w:p>
        </w:tc>
        <w:tc>
          <w:tcPr>
            <w:tcW w:w="3668" w:type="dxa"/>
            <w:noWrap w:val="0"/>
            <w:vAlign w:val="center"/>
          </w:tcPr>
          <w:p>
            <w:pPr>
              <w:adjustRightInd w:val="0"/>
              <w:snapToGrid w:val="0"/>
              <w:spacing w:line="500" w:lineRule="exact"/>
              <w:ind w:firstLine="1050" w:firstLineChars="500"/>
            </w:pPr>
            <w:r>
              <w:t>出现部位</w:t>
            </w:r>
          </w:p>
        </w:tc>
        <w:tc>
          <w:tcPr>
            <w:tcW w:w="3198" w:type="dxa"/>
            <w:noWrap w:val="0"/>
            <w:vAlign w:val="center"/>
          </w:tcPr>
          <w:p>
            <w:pPr>
              <w:adjustRightInd w:val="0"/>
              <w:snapToGrid w:val="0"/>
              <w:spacing w:line="500" w:lineRule="exact"/>
              <w:ind w:firstLine="1050" w:firstLineChars="500"/>
            </w:pPr>
            <w:r>
              <w:t>提示疾病</w:t>
            </w: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cantSplit/>
          <w:trHeight w:val="1619" w:hRule="atLeast"/>
        </w:trPr>
        <w:tc>
          <w:tcPr>
            <w:tcW w:w="1662" w:type="dxa"/>
            <w:noWrap w:val="0"/>
            <w:vAlign w:val="center"/>
          </w:tcPr>
          <w:p>
            <w:pPr>
              <w:adjustRightInd w:val="0"/>
              <w:snapToGrid w:val="0"/>
              <w:spacing w:line="500" w:lineRule="exact"/>
            </w:pPr>
            <w:r>
              <w:t>收缩期</w:t>
            </w:r>
          </w:p>
          <w:p>
            <w:pPr>
              <w:adjustRightInd w:val="0"/>
              <w:snapToGrid w:val="0"/>
              <w:spacing w:line="500" w:lineRule="exact"/>
            </w:pPr>
          </w:p>
          <w:p>
            <w:pPr>
              <w:adjustRightInd w:val="0"/>
              <w:snapToGrid w:val="0"/>
              <w:spacing w:line="500" w:lineRule="exact"/>
            </w:pPr>
            <w:r>
              <w:t xml:space="preserve">    </w:t>
            </w:r>
          </w:p>
          <w:p>
            <w:pPr>
              <w:adjustRightInd w:val="0"/>
              <w:snapToGrid w:val="0"/>
              <w:spacing w:line="500" w:lineRule="exact"/>
              <w:jc w:val="left"/>
            </w:pPr>
            <w:r>
              <w:t>舒张期</w:t>
            </w:r>
          </w:p>
          <w:p>
            <w:pPr>
              <w:adjustRightInd w:val="0"/>
              <w:snapToGrid w:val="0"/>
              <w:spacing w:line="500" w:lineRule="exact"/>
            </w:pPr>
            <w:r>
              <w:t>连续性</w:t>
            </w:r>
          </w:p>
        </w:tc>
        <w:tc>
          <w:tcPr>
            <w:tcW w:w="3668" w:type="dxa"/>
            <w:noWrap w:val="0"/>
            <w:vAlign w:val="center"/>
          </w:tcPr>
          <w:p>
            <w:pPr>
              <w:adjustRightInd w:val="0"/>
              <w:snapToGrid w:val="0"/>
              <w:spacing w:line="500" w:lineRule="exact"/>
              <w:ind w:firstLine="420" w:firstLineChars="200"/>
            </w:pPr>
            <w:r>
              <w:t>胸骨右缘第二肋间</w:t>
            </w:r>
          </w:p>
          <w:p>
            <w:pPr>
              <w:adjustRightInd w:val="0"/>
              <w:snapToGrid w:val="0"/>
              <w:spacing w:line="500" w:lineRule="exact"/>
              <w:ind w:firstLine="420" w:firstLineChars="200"/>
            </w:pPr>
            <w:r>
              <w:t>胸骨左缘第二肋间</w:t>
            </w:r>
          </w:p>
          <w:p>
            <w:pPr>
              <w:adjustRightInd w:val="0"/>
              <w:snapToGrid w:val="0"/>
              <w:spacing w:line="500" w:lineRule="exact"/>
              <w:ind w:firstLine="420" w:firstLineChars="200"/>
            </w:pPr>
            <w:r>
              <w:t>胸骨左缘第三、四肋间</w:t>
            </w:r>
          </w:p>
          <w:p>
            <w:pPr>
              <w:adjustRightInd w:val="0"/>
              <w:snapToGrid w:val="0"/>
              <w:spacing w:line="500" w:lineRule="exact"/>
              <w:ind w:firstLine="420" w:firstLineChars="200"/>
            </w:pPr>
            <w:r>
              <w:t>心尖部</w:t>
            </w:r>
          </w:p>
          <w:p>
            <w:pPr>
              <w:adjustRightInd w:val="0"/>
              <w:snapToGrid w:val="0"/>
              <w:spacing w:line="500" w:lineRule="exact"/>
              <w:ind w:firstLine="420" w:firstLineChars="200"/>
            </w:pPr>
            <w:r>
              <w:t>胸骨左缘第二肋间及其附近</w:t>
            </w:r>
          </w:p>
        </w:tc>
        <w:tc>
          <w:tcPr>
            <w:tcW w:w="3198" w:type="dxa"/>
            <w:noWrap w:val="0"/>
            <w:vAlign w:val="center"/>
          </w:tcPr>
          <w:p>
            <w:pPr>
              <w:adjustRightInd w:val="0"/>
              <w:snapToGrid w:val="0"/>
              <w:spacing w:line="500" w:lineRule="exact"/>
              <w:ind w:firstLine="840" w:firstLineChars="400"/>
            </w:pPr>
            <w:r>
              <w:t>主动脉瓣狭窄</w:t>
            </w:r>
          </w:p>
          <w:p>
            <w:pPr>
              <w:adjustRightInd w:val="0"/>
              <w:snapToGrid w:val="0"/>
              <w:spacing w:line="500" w:lineRule="exact"/>
              <w:ind w:firstLine="840" w:firstLineChars="400"/>
            </w:pPr>
            <w:r>
              <w:t>肺动脉瓣狭窄</w:t>
            </w:r>
          </w:p>
          <w:p>
            <w:pPr>
              <w:adjustRightInd w:val="0"/>
              <w:snapToGrid w:val="0"/>
              <w:spacing w:line="500" w:lineRule="exact"/>
              <w:ind w:firstLine="840" w:firstLineChars="400"/>
            </w:pPr>
            <w:r>
              <w:t>室间隔缺损</w:t>
            </w:r>
          </w:p>
          <w:p>
            <w:pPr>
              <w:adjustRightInd w:val="0"/>
              <w:snapToGrid w:val="0"/>
              <w:spacing w:line="500" w:lineRule="exact"/>
              <w:ind w:firstLine="840" w:firstLineChars="400"/>
            </w:pPr>
            <w:r>
              <w:t>二尖瓣狭窄</w:t>
            </w:r>
          </w:p>
          <w:p>
            <w:pPr>
              <w:adjustRightInd w:val="0"/>
              <w:snapToGrid w:val="0"/>
              <w:spacing w:line="500" w:lineRule="exact"/>
              <w:ind w:firstLine="840" w:firstLineChars="400"/>
            </w:pPr>
            <w:r>
              <w:t>动脉导管未闭</w:t>
            </w:r>
          </w:p>
        </w:tc>
      </w:tr>
    </w:tbl>
    <w:p>
      <w:pPr>
        <w:pStyle w:val="6"/>
        <w:adjustRightInd w:val="0"/>
        <w:snapToGrid w:val="0"/>
        <w:spacing w:line="500" w:lineRule="exact"/>
      </w:pPr>
      <w:r>
        <w:t>4）叩诊：用指指叩诊法，沿肋间由外向内、自上而下为序进行，用力要均匀。心界扩大者应进行测量，从胸骨中线量至各肋间浊音开始点，用尺测量不得随胸壁弯曲，应取其直线距离。</w:t>
      </w:r>
    </w:p>
    <w:p>
      <w:pPr>
        <w:adjustRightInd w:val="0"/>
        <w:snapToGrid w:val="0"/>
        <w:spacing w:line="500" w:lineRule="exact"/>
        <w:ind w:firstLine="420" w:firstLineChars="200"/>
      </w:pPr>
      <w:r>
        <w:t>5）听诊：按二尖瓣区（心尖区）、三尖瓣区、主动脉瓣第二听诊区、肺动脉瓣区、主动脉瓣区的顺序进行，还应特别注意听诊胸骨左缘，以防先天性心脏病杂音漏诊。听诊内容包括心率、心律、心音、杂音及心包摩擦音等。</w:t>
      </w:r>
    </w:p>
    <w:p>
      <w:pPr>
        <w:adjustRightInd w:val="0"/>
        <w:snapToGrid w:val="0"/>
        <w:spacing w:line="500" w:lineRule="exact"/>
        <w:ind w:firstLine="420" w:firstLineChars="200"/>
      </w:pPr>
      <w:r>
        <w:t>①心率：心律匀齐时最少数15秒，心律不齐时最少数60秒。正常成人心率为60～100次/</w:t>
      </w:r>
      <w:r>
        <w:rPr>
          <w:rFonts w:hint="eastAsia"/>
        </w:rPr>
        <w:t>m</w:t>
      </w:r>
      <w:r>
        <w:t>in，超过100次/</w:t>
      </w:r>
      <w:r>
        <w:rPr>
          <w:rFonts w:hint="eastAsia"/>
        </w:rPr>
        <w:t>m</w:t>
      </w:r>
      <w:r>
        <w:t>in为心动过速，低于60次/</w:t>
      </w:r>
      <w:r>
        <w:rPr>
          <w:rFonts w:hint="eastAsia"/>
        </w:rPr>
        <w:t>m</w:t>
      </w:r>
      <w:r>
        <w:t>in为心动过缓。</w:t>
      </w:r>
    </w:p>
    <w:p>
      <w:pPr>
        <w:adjustRightInd w:val="0"/>
        <w:snapToGrid w:val="0"/>
        <w:spacing w:line="500" w:lineRule="exact"/>
        <w:ind w:firstLine="420" w:firstLineChars="200"/>
      </w:pPr>
      <w:r>
        <w:t>②心律：如果有早搏，应记录每分钟几次；如果心律紊乱无规律，应结合心电图予以记录。</w:t>
      </w:r>
    </w:p>
    <w:p>
      <w:pPr>
        <w:adjustRightInd w:val="0"/>
        <w:snapToGrid w:val="0"/>
        <w:spacing w:line="500" w:lineRule="exact"/>
        <w:ind w:firstLine="420" w:firstLineChars="200"/>
      </w:pPr>
      <w:r>
        <w:t>③心音：注意有无异常心音，如心音亢进、心音减弱、额外心音、心音分裂等。</w:t>
      </w:r>
    </w:p>
    <w:p>
      <w:pPr>
        <w:adjustRightInd w:val="0"/>
        <w:snapToGrid w:val="0"/>
        <w:spacing w:line="500" w:lineRule="exact"/>
        <w:ind w:firstLine="420" w:firstLineChars="200"/>
      </w:pPr>
      <w:r>
        <w:t>④杂音：分为生理性杂音（功能性杂音）和病理性杂音（器质性杂音）。听诊发现杂音，应根据杂音的部位、强度、性质、长短、出现时间、传导情况及其随体位、呼吸的变化情况等进行判定。</w:t>
      </w:r>
    </w:p>
    <w:p>
      <w:pPr>
        <w:adjustRightInd w:val="0"/>
        <w:snapToGrid w:val="0"/>
        <w:spacing w:line="500" w:lineRule="exact"/>
        <w:ind w:firstLine="420" w:firstLineChars="200"/>
      </w:pPr>
      <w:r>
        <w:t>心脏收缩期杂音强度分级见表2。生理性收缩期杂音，一般心尖区不超过2级，肺动脉瓣区不超过3级，主动脉瓣区不超过1级，杂音性质柔和、吹风样，局限不传导。舒张期杂音均属病理性，杂音响度仅分为轻度或响亮。</w:t>
      </w:r>
      <w:r>
        <w:rPr>
          <w:bCs/>
        </w:rPr>
        <w:t>生理性与病理性收缩期杂音鉴别要点见表3。</w:t>
      </w:r>
    </w:p>
    <w:p>
      <w:pPr>
        <w:adjustRightInd w:val="0"/>
        <w:snapToGrid w:val="0"/>
        <w:spacing w:line="500" w:lineRule="exact"/>
      </w:pPr>
    </w:p>
    <w:p>
      <w:pPr>
        <w:adjustRightInd w:val="0"/>
        <w:snapToGrid w:val="0"/>
        <w:spacing w:line="500" w:lineRule="exact"/>
        <w:jc w:val="center"/>
      </w:pPr>
      <w:r>
        <w:rPr>
          <w:b/>
          <w:bCs/>
        </w:rPr>
        <w:t>表2  心脏收缩期杂音强度分级</w:t>
      </w:r>
    </w:p>
    <w:tbl>
      <w:tblPr>
        <w:tblStyle w:val="14"/>
        <w:tblW w:w="0" w:type="auto"/>
        <w:tblInd w:w="0" w:type="dxa"/>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cantSplit/>
        </w:trPr>
        <w:tc>
          <w:tcPr>
            <w:tcW w:w="934" w:type="dxa"/>
            <w:noWrap w:val="0"/>
            <w:vAlign w:val="center"/>
          </w:tcPr>
          <w:p>
            <w:pPr>
              <w:adjustRightInd w:val="0"/>
              <w:snapToGrid w:val="0"/>
              <w:spacing w:line="500" w:lineRule="exact"/>
            </w:pPr>
            <w:r>
              <w:t>级别</w:t>
            </w:r>
          </w:p>
        </w:tc>
        <w:tc>
          <w:tcPr>
            <w:tcW w:w="6257" w:type="dxa"/>
            <w:noWrap w:val="0"/>
            <w:vAlign w:val="center"/>
          </w:tcPr>
          <w:p>
            <w:pPr>
              <w:adjustRightInd w:val="0"/>
              <w:snapToGrid w:val="0"/>
              <w:spacing w:line="500" w:lineRule="exact"/>
            </w:pPr>
            <w:r>
              <w:t>杂音特点</w:t>
            </w:r>
          </w:p>
        </w:tc>
        <w:tc>
          <w:tcPr>
            <w:tcW w:w="1337" w:type="dxa"/>
            <w:noWrap w:val="0"/>
            <w:vAlign w:val="center"/>
          </w:tcPr>
          <w:p>
            <w:pPr>
              <w:adjustRightInd w:val="0"/>
              <w:snapToGrid w:val="0"/>
              <w:spacing w:line="500" w:lineRule="exact"/>
            </w:pPr>
            <w:r>
              <w:t>震颤</w:t>
            </w: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cantSplit/>
          <w:trHeight w:val="1996" w:hRule="atLeast"/>
        </w:trPr>
        <w:tc>
          <w:tcPr>
            <w:tcW w:w="934" w:type="dxa"/>
            <w:noWrap w:val="0"/>
            <w:tcMar>
              <w:top w:w="57" w:type="dxa"/>
              <w:bottom w:w="28" w:type="dxa"/>
            </w:tcMar>
            <w:vAlign w:val="center"/>
          </w:tcPr>
          <w:p>
            <w:pPr>
              <w:adjustRightInd w:val="0"/>
              <w:snapToGrid w:val="0"/>
              <w:spacing w:line="500" w:lineRule="exact"/>
              <w:ind w:firstLine="105" w:firstLineChars="50"/>
            </w:pPr>
            <w:r>
              <w:t>1</w:t>
            </w:r>
          </w:p>
          <w:p>
            <w:pPr>
              <w:adjustRightInd w:val="0"/>
              <w:snapToGrid w:val="0"/>
              <w:spacing w:line="500" w:lineRule="exact"/>
              <w:ind w:firstLine="105" w:firstLineChars="50"/>
            </w:pPr>
            <w:r>
              <w:t>2</w:t>
            </w:r>
          </w:p>
          <w:p>
            <w:pPr>
              <w:adjustRightInd w:val="0"/>
              <w:snapToGrid w:val="0"/>
              <w:spacing w:line="500" w:lineRule="exact"/>
              <w:ind w:firstLine="105" w:firstLineChars="50"/>
            </w:pPr>
            <w:r>
              <w:t>3</w:t>
            </w:r>
          </w:p>
          <w:p>
            <w:pPr>
              <w:adjustRightInd w:val="0"/>
              <w:snapToGrid w:val="0"/>
              <w:spacing w:line="500" w:lineRule="exact"/>
              <w:ind w:firstLine="105" w:firstLineChars="50"/>
            </w:pPr>
            <w:r>
              <w:t>4</w:t>
            </w:r>
          </w:p>
          <w:p>
            <w:pPr>
              <w:adjustRightInd w:val="0"/>
              <w:snapToGrid w:val="0"/>
              <w:spacing w:line="500" w:lineRule="exact"/>
              <w:ind w:firstLine="105" w:firstLineChars="50"/>
            </w:pPr>
            <w:r>
              <w:t>5</w:t>
            </w:r>
          </w:p>
          <w:p>
            <w:pPr>
              <w:adjustRightInd w:val="0"/>
              <w:snapToGrid w:val="0"/>
              <w:spacing w:line="500" w:lineRule="exact"/>
              <w:ind w:firstLine="105" w:firstLineChars="50"/>
            </w:pPr>
            <w:r>
              <w:t>6</w:t>
            </w:r>
          </w:p>
        </w:tc>
        <w:tc>
          <w:tcPr>
            <w:tcW w:w="6257" w:type="dxa"/>
            <w:noWrap w:val="0"/>
            <w:tcMar>
              <w:top w:w="57" w:type="dxa"/>
              <w:bottom w:w="28" w:type="dxa"/>
            </w:tcMar>
            <w:vAlign w:val="center"/>
          </w:tcPr>
          <w:p>
            <w:pPr>
              <w:adjustRightInd w:val="0"/>
              <w:snapToGrid w:val="0"/>
              <w:spacing w:line="500" w:lineRule="exact"/>
            </w:pPr>
            <w:r>
              <w:t>很弱，须在安静环境下仔细听诊才能听到，易被忽略</w:t>
            </w:r>
          </w:p>
          <w:p>
            <w:pPr>
              <w:adjustRightInd w:val="0"/>
              <w:snapToGrid w:val="0"/>
              <w:spacing w:line="500" w:lineRule="exact"/>
            </w:pPr>
            <w:r>
              <w:t>较易听到，不太响亮</w:t>
            </w:r>
          </w:p>
          <w:p>
            <w:pPr>
              <w:adjustRightInd w:val="0"/>
              <w:snapToGrid w:val="0"/>
              <w:spacing w:line="500" w:lineRule="exact"/>
            </w:pPr>
            <w:r>
              <w:t>明显的杂音，较响亮</w:t>
            </w:r>
          </w:p>
          <w:p>
            <w:pPr>
              <w:adjustRightInd w:val="0"/>
              <w:snapToGrid w:val="0"/>
              <w:spacing w:line="500" w:lineRule="exact"/>
            </w:pPr>
            <w:r>
              <w:t>杂音响亮</w:t>
            </w:r>
          </w:p>
          <w:p>
            <w:pPr>
              <w:adjustRightInd w:val="0"/>
              <w:snapToGrid w:val="0"/>
              <w:spacing w:line="500" w:lineRule="exact"/>
            </w:pPr>
            <w:r>
              <w:t>杂音很强，且向四周甚至背部传导，但听诊器离开胸壁即听不到</w:t>
            </w:r>
          </w:p>
          <w:p>
            <w:pPr>
              <w:adjustRightInd w:val="0"/>
              <w:snapToGrid w:val="0"/>
              <w:spacing w:line="500" w:lineRule="exact"/>
            </w:pPr>
            <w:r>
              <w:t>杂音震耳，即使听诊器距胸壁一定距离亦可听到</w:t>
            </w:r>
          </w:p>
        </w:tc>
        <w:tc>
          <w:tcPr>
            <w:tcW w:w="1337" w:type="dxa"/>
            <w:noWrap w:val="0"/>
            <w:vAlign w:val="center"/>
          </w:tcPr>
          <w:p>
            <w:pPr>
              <w:adjustRightInd w:val="0"/>
              <w:snapToGrid w:val="0"/>
              <w:spacing w:line="500" w:lineRule="exact"/>
            </w:pPr>
            <w:r>
              <w:t>无</w:t>
            </w:r>
          </w:p>
          <w:p>
            <w:pPr>
              <w:adjustRightInd w:val="0"/>
              <w:snapToGrid w:val="0"/>
              <w:spacing w:line="500" w:lineRule="exact"/>
            </w:pPr>
            <w:r>
              <w:t>无</w:t>
            </w:r>
          </w:p>
          <w:p>
            <w:pPr>
              <w:adjustRightInd w:val="0"/>
              <w:snapToGrid w:val="0"/>
              <w:spacing w:line="500" w:lineRule="exact"/>
            </w:pPr>
            <w:r>
              <w:t>无或可能有</w:t>
            </w:r>
          </w:p>
          <w:p>
            <w:pPr>
              <w:adjustRightInd w:val="0"/>
              <w:snapToGrid w:val="0"/>
              <w:spacing w:line="500" w:lineRule="exact"/>
            </w:pPr>
            <w:r>
              <w:t>有</w:t>
            </w:r>
          </w:p>
          <w:p>
            <w:pPr>
              <w:adjustRightInd w:val="0"/>
              <w:snapToGrid w:val="0"/>
              <w:spacing w:line="500" w:lineRule="exact"/>
            </w:pPr>
            <w:r>
              <w:t>明显</w:t>
            </w:r>
          </w:p>
          <w:p>
            <w:pPr>
              <w:adjustRightInd w:val="0"/>
              <w:snapToGrid w:val="0"/>
              <w:spacing w:line="500" w:lineRule="exact"/>
            </w:pPr>
            <w:r>
              <w:t>强烈</w:t>
            </w:r>
          </w:p>
        </w:tc>
      </w:tr>
    </w:tbl>
    <w:p>
      <w:pPr>
        <w:adjustRightInd w:val="0"/>
        <w:snapToGrid w:val="0"/>
        <w:spacing w:line="500" w:lineRule="exact"/>
        <w:ind w:firstLine="420" w:firstLineChars="200"/>
      </w:pPr>
    </w:p>
    <w:p>
      <w:pPr>
        <w:adjustRightInd w:val="0"/>
        <w:snapToGrid w:val="0"/>
        <w:spacing w:line="500" w:lineRule="exact"/>
        <w:ind w:firstLine="420" w:firstLineChars="200"/>
      </w:pPr>
    </w:p>
    <w:p>
      <w:pPr>
        <w:adjustRightInd w:val="0"/>
        <w:snapToGrid w:val="0"/>
        <w:spacing w:line="500" w:lineRule="exact"/>
        <w:jc w:val="center"/>
      </w:pPr>
      <w:r>
        <w:rPr>
          <w:b/>
          <w:bCs/>
        </w:rPr>
        <w:t>表3  心脏生理性与病理性收缩期杂音鉴别要点</w:t>
      </w:r>
    </w:p>
    <w:tbl>
      <w:tblPr>
        <w:tblStyle w:val="14"/>
        <w:tblW w:w="0" w:type="auto"/>
        <w:tblInd w:w="0" w:type="dxa"/>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PrEx>
        <w:tc>
          <w:tcPr>
            <w:tcW w:w="1340" w:type="dxa"/>
            <w:noWrap w:val="0"/>
            <w:vAlign w:val="top"/>
          </w:tcPr>
          <w:p>
            <w:pPr>
              <w:adjustRightInd w:val="0"/>
              <w:snapToGrid w:val="0"/>
              <w:spacing w:line="500" w:lineRule="exact"/>
            </w:pPr>
            <w:r>
              <w:t>鉴别要点</w:t>
            </w:r>
          </w:p>
        </w:tc>
        <w:tc>
          <w:tcPr>
            <w:tcW w:w="3374" w:type="dxa"/>
            <w:noWrap w:val="0"/>
            <w:vAlign w:val="top"/>
          </w:tcPr>
          <w:p>
            <w:pPr>
              <w:adjustRightInd w:val="0"/>
              <w:snapToGrid w:val="0"/>
              <w:spacing w:line="500" w:lineRule="exact"/>
              <w:ind w:firstLine="840" w:firstLineChars="400"/>
            </w:pPr>
            <w:r>
              <w:t>生理性杂音</w:t>
            </w:r>
          </w:p>
        </w:tc>
        <w:tc>
          <w:tcPr>
            <w:tcW w:w="3814" w:type="dxa"/>
            <w:noWrap w:val="0"/>
            <w:vAlign w:val="top"/>
          </w:tcPr>
          <w:p>
            <w:pPr>
              <w:adjustRightInd w:val="0"/>
              <w:snapToGrid w:val="0"/>
              <w:spacing w:line="500" w:lineRule="exact"/>
              <w:ind w:firstLine="1050" w:firstLineChars="500"/>
            </w:pPr>
            <w:r>
              <w:t>病理性杂音</w:t>
            </w: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2666" w:hRule="atLeast"/>
        </w:trPr>
        <w:tc>
          <w:tcPr>
            <w:tcW w:w="1340" w:type="dxa"/>
            <w:noWrap w:val="0"/>
            <w:tcMar>
              <w:top w:w="57" w:type="dxa"/>
              <w:bottom w:w="28" w:type="dxa"/>
            </w:tcMar>
            <w:vAlign w:val="center"/>
          </w:tcPr>
          <w:p>
            <w:pPr>
              <w:adjustRightInd w:val="0"/>
              <w:snapToGrid w:val="0"/>
              <w:spacing w:line="500" w:lineRule="exact"/>
            </w:pPr>
            <w:r>
              <w:t>杂音部位</w:t>
            </w:r>
          </w:p>
          <w:p>
            <w:pPr>
              <w:adjustRightInd w:val="0"/>
              <w:snapToGrid w:val="0"/>
              <w:spacing w:line="500" w:lineRule="exact"/>
            </w:pPr>
            <w:r>
              <w:t>出现时间</w:t>
            </w:r>
          </w:p>
          <w:p>
            <w:pPr>
              <w:adjustRightInd w:val="0"/>
              <w:snapToGrid w:val="0"/>
              <w:spacing w:line="500" w:lineRule="exact"/>
            </w:pPr>
            <w:r>
              <w:t>杂音强度</w:t>
            </w:r>
          </w:p>
          <w:p>
            <w:pPr>
              <w:adjustRightInd w:val="0"/>
              <w:snapToGrid w:val="0"/>
              <w:spacing w:line="500" w:lineRule="exact"/>
            </w:pPr>
            <w:r>
              <w:t>杂音性质</w:t>
            </w:r>
          </w:p>
          <w:p>
            <w:pPr>
              <w:adjustRightInd w:val="0"/>
              <w:snapToGrid w:val="0"/>
              <w:spacing w:line="500" w:lineRule="exact"/>
            </w:pPr>
            <w:r>
              <w:t>传导范围</w:t>
            </w:r>
          </w:p>
          <w:p>
            <w:pPr>
              <w:adjustRightInd w:val="0"/>
              <w:snapToGrid w:val="0"/>
              <w:spacing w:line="500" w:lineRule="exact"/>
            </w:pPr>
            <w:r>
              <w:t>易变性</w:t>
            </w:r>
          </w:p>
          <w:p>
            <w:pPr>
              <w:adjustRightInd w:val="0"/>
              <w:snapToGrid w:val="0"/>
              <w:spacing w:line="500" w:lineRule="exact"/>
            </w:pPr>
          </w:p>
          <w:p>
            <w:pPr>
              <w:adjustRightInd w:val="0"/>
              <w:snapToGrid w:val="0"/>
              <w:spacing w:line="500" w:lineRule="exact"/>
            </w:pPr>
            <w:r>
              <w:t>心脏形态</w:t>
            </w:r>
          </w:p>
        </w:tc>
        <w:tc>
          <w:tcPr>
            <w:tcW w:w="3374" w:type="dxa"/>
            <w:noWrap w:val="0"/>
            <w:tcMar>
              <w:top w:w="57" w:type="dxa"/>
              <w:bottom w:w="28" w:type="dxa"/>
            </w:tcMar>
            <w:vAlign w:val="center"/>
          </w:tcPr>
          <w:p>
            <w:pPr>
              <w:adjustRightInd w:val="0"/>
              <w:snapToGrid w:val="0"/>
              <w:spacing w:line="500" w:lineRule="exact"/>
            </w:pPr>
            <w:r>
              <w:t>多在二尖瓣或肺动脉瓣听诊区</w:t>
            </w:r>
          </w:p>
          <w:p>
            <w:pPr>
              <w:adjustRightInd w:val="0"/>
              <w:snapToGrid w:val="0"/>
              <w:spacing w:line="500" w:lineRule="exact"/>
            </w:pPr>
            <w:r>
              <w:t>发生于收缩早期，不掩盖第一音</w:t>
            </w:r>
          </w:p>
          <w:p>
            <w:pPr>
              <w:adjustRightInd w:val="0"/>
              <w:snapToGrid w:val="0"/>
              <w:spacing w:line="500" w:lineRule="exact"/>
            </w:pPr>
            <w:r>
              <w:t>一般不超过2级</w:t>
            </w:r>
          </w:p>
          <w:p>
            <w:pPr>
              <w:adjustRightInd w:val="0"/>
              <w:snapToGrid w:val="0"/>
              <w:spacing w:line="500" w:lineRule="exact"/>
            </w:pPr>
            <w:r>
              <w:t>柔和，吹风样</w:t>
            </w:r>
          </w:p>
          <w:p>
            <w:pPr>
              <w:adjustRightInd w:val="0"/>
              <w:snapToGrid w:val="0"/>
              <w:spacing w:line="500" w:lineRule="exact"/>
            </w:pPr>
            <w:r>
              <w:t>一般比较局限</w:t>
            </w:r>
          </w:p>
          <w:p>
            <w:pPr>
              <w:adjustRightInd w:val="0"/>
              <w:snapToGrid w:val="0"/>
              <w:spacing w:line="500" w:lineRule="exact"/>
            </w:pPr>
            <w:r>
              <w:t>易变化，时有时无，受呼吸、体位变化的影响</w:t>
            </w:r>
          </w:p>
          <w:p>
            <w:pPr>
              <w:adjustRightInd w:val="0"/>
              <w:snapToGrid w:val="0"/>
              <w:spacing w:line="500" w:lineRule="exact"/>
            </w:pPr>
            <w:r>
              <w:t>正常</w:t>
            </w:r>
          </w:p>
        </w:tc>
        <w:tc>
          <w:tcPr>
            <w:tcW w:w="3814" w:type="dxa"/>
            <w:noWrap w:val="0"/>
            <w:tcMar>
              <w:top w:w="57" w:type="dxa"/>
              <w:bottom w:w="28" w:type="dxa"/>
            </w:tcMar>
            <w:vAlign w:val="center"/>
          </w:tcPr>
          <w:p>
            <w:pPr>
              <w:adjustRightInd w:val="0"/>
              <w:snapToGrid w:val="0"/>
              <w:spacing w:line="500" w:lineRule="exact"/>
            </w:pPr>
            <w:r>
              <w:t>各瓣膜听诊区</w:t>
            </w:r>
          </w:p>
          <w:p>
            <w:pPr>
              <w:adjustRightInd w:val="0"/>
              <w:snapToGrid w:val="0"/>
              <w:spacing w:line="500" w:lineRule="exact"/>
            </w:pPr>
            <w:r>
              <w:t>占收缩期的大部分或全部，掩盖第一音常在3级以上（主动脉瓣区超过1级）</w:t>
            </w:r>
          </w:p>
          <w:p>
            <w:pPr>
              <w:adjustRightInd w:val="0"/>
              <w:snapToGrid w:val="0"/>
              <w:spacing w:line="500" w:lineRule="exact"/>
            </w:pPr>
            <w:r>
              <w:t>多粗糙，吹风样或雷鸣样</w:t>
            </w:r>
          </w:p>
          <w:p>
            <w:pPr>
              <w:adjustRightInd w:val="0"/>
              <w:snapToGrid w:val="0"/>
              <w:spacing w:line="500" w:lineRule="exact"/>
            </w:pPr>
            <w:r>
              <w:t>传导范围较广</w:t>
            </w:r>
          </w:p>
          <w:p>
            <w:pPr>
              <w:adjustRightInd w:val="0"/>
              <w:snapToGrid w:val="0"/>
              <w:spacing w:line="500" w:lineRule="exact"/>
            </w:pPr>
            <w:r>
              <w:t>持久存在，变化较小，多不受呼吸、体位变化的影响</w:t>
            </w:r>
          </w:p>
          <w:p>
            <w:pPr>
              <w:adjustRightInd w:val="0"/>
              <w:snapToGrid w:val="0"/>
              <w:spacing w:line="500" w:lineRule="exact"/>
            </w:pPr>
            <w:r>
              <w:t>可有心房或心室增大</w:t>
            </w:r>
          </w:p>
        </w:tc>
      </w:tr>
    </w:tbl>
    <w:p>
      <w:pPr>
        <w:adjustRightInd w:val="0"/>
        <w:snapToGrid w:val="0"/>
        <w:spacing w:line="500" w:lineRule="exact"/>
      </w:pPr>
    </w:p>
    <w:p>
      <w:pPr>
        <w:adjustRightInd w:val="0"/>
        <w:snapToGrid w:val="0"/>
        <w:spacing w:line="500" w:lineRule="exact"/>
        <w:ind w:firstLine="420" w:firstLineChars="200"/>
      </w:pPr>
      <w:r>
        <w:t>1.2.3  肺部检查  主要检查方式为望诊、叩诊、听诊，以听诊为主。</w:t>
      </w:r>
    </w:p>
    <w:p>
      <w:pPr>
        <w:adjustRightInd w:val="0"/>
        <w:snapToGrid w:val="0"/>
        <w:spacing w:line="500" w:lineRule="exact"/>
        <w:ind w:firstLine="420" w:firstLineChars="200"/>
      </w:pPr>
      <w:r>
        <w:t xml:space="preserve">1）检查体位：受检者取坐位或仰卧位。 </w:t>
      </w:r>
    </w:p>
    <w:p>
      <w:pPr>
        <w:adjustRightInd w:val="0"/>
        <w:snapToGrid w:val="0"/>
        <w:spacing w:line="500" w:lineRule="exact"/>
        <w:ind w:firstLine="420" w:firstLineChars="200"/>
      </w:pPr>
      <w:r>
        <w:t>2）望诊：观察胸廓是否对称、有无畸形，呼吸运动是否均匀一致，胸部皮肤有无静脉曲张、皮疹、蜘蛛痣等。</w:t>
      </w:r>
    </w:p>
    <w:p>
      <w:pPr>
        <w:adjustRightInd w:val="0"/>
        <w:snapToGrid w:val="0"/>
        <w:spacing w:line="500" w:lineRule="exact"/>
        <w:ind w:firstLine="420" w:firstLineChars="200"/>
      </w:pPr>
      <w:r>
        <w:t>3）叩诊：自肺尖开始，由上而下，两侧对称部位比较。正常肺的清音区如果出现浊音、实音、过清音或鼓音时，提示肺、胸、膈或胸壁的病理改变。</w:t>
      </w:r>
    </w:p>
    <w:p>
      <w:pPr>
        <w:adjustRightInd w:val="0"/>
        <w:snapToGrid w:val="0"/>
        <w:spacing w:line="500" w:lineRule="exact"/>
        <w:ind w:firstLine="420" w:firstLineChars="200"/>
      </w:pPr>
      <w:r>
        <w:t>4）听诊：由肺尖开始，自上而下，先胸后背，两侧对称部位比较，注意呼吸音的强弱，有无干、湿啰音及胸膜摩擦音等，必要时结合放射科检查进一步明确诊断。</w:t>
      </w:r>
    </w:p>
    <w:p>
      <w:pPr>
        <w:adjustRightInd w:val="0"/>
        <w:snapToGrid w:val="0"/>
        <w:spacing w:line="500" w:lineRule="exact"/>
        <w:ind w:firstLine="420" w:firstLineChars="200"/>
      </w:pPr>
      <w:r>
        <w:t>1.2.4  腹部检查  主要检查方式为望诊、触诊，以触诊为主。</w:t>
      </w:r>
    </w:p>
    <w:p>
      <w:pPr>
        <w:adjustRightInd w:val="0"/>
        <w:snapToGrid w:val="0"/>
        <w:spacing w:line="500" w:lineRule="exact"/>
        <w:ind w:firstLine="420" w:firstLineChars="200"/>
      </w:pPr>
      <w:r>
        <w:t>1）检查体位：受检者取仰卧位，双腿屈起并稍分开，使腹肌松弛，做平静腹式呼吸。</w:t>
      </w:r>
    </w:p>
    <w:p>
      <w:pPr>
        <w:adjustRightInd w:val="0"/>
        <w:snapToGrid w:val="0"/>
        <w:spacing w:line="500" w:lineRule="exact"/>
        <w:ind w:firstLine="420" w:firstLineChars="200"/>
      </w:pPr>
      <w:r>
        <w:t>2）望诊：观察腹部有无膨隆、皮疹、腹壁静脉曲张等。</w:t>
      </w:r>
    </w:p>
    <w:p>
      <w:pPr>
        <w:adjustRightInd w:val="0"/>
        <w:snapToGrid w:val="0"/>
        <w:spacing w:line="500" w:lineRule="exact"/>
        <w:ind w:firstLine="420" w:firstLineChars="200"/>
      </w:pPr>
      <w:r>
        <w:t>3）触诊：检查者站立于受检者右侧，用右手以轻柔动作按顺序触诊腹的各部。检查一般从左下腹开始，按逆时针方向顺序进行，注意腹壁的紧张度、有无压痛、反跳痛以及包块等。触到包块时需注意其位置、大小、形态、质地、有无压痛、搏动以及活动度情况，注意将正常情况与病理性包块区别开来。</w:t>
      </w:r>
    </w:p>
    <w:p>
      <w:pPr>
        <w:adjustRightInd w:val="0"/>
        <w:snapToGrid w:val="0"/>
        <w:spacing w:line="500" w:lineRule="exact"/>
        <w:ind w:firstLine="420" w:firstLineChars="200"/>
      </w:pPr>
      <w:r>
        <w:t>①肝脏检查：在右锁骨中线上由髂前上棘平面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adjustRightInd w:val="0"/>
        <w:snapToGrid w:val="0"/>
        <w:spacing w:line="500" w:lineRule="exact"/>
        <w:ind w:firstLine="420" w:firstLineChars="200"/>
      </w:pPr>
      <w:r>
        <w:t>肝脏软硬度判定：质软，口唇样硬度；质韧，鼻尖样硬度；质硬，前额样硬度。</w:t>
      </w:r>
    </w:p>
    <w:p>
      <w:pPr>
        <w:adjustRightInd w:val="0"/>
        <w:snapToGrid w:val="0"/>
        <w:spacing w:line="500" w:lineRule="exact"/>
        <w:ind w:firstLine="420" w:firstLineChars="200"/>
      </w:pPr>
      <w:r>
        <w:t>对肝大者应注意肝上界有无移位，并分别测量肝缘与肋缘、肝缘与剑突根部的距离，注意是否伴有脾脏、淋巴结肿大及其他伴随体征，如消瘦、黄疸、腹水、水肿等，并做进一步检查以明确诊断。</w:t>
      </w:r>
    </w:p>
    <w:p>
      <w:pPr>
        <w:adjustRightInd w:val="0"/>
        <w:snapToGrid w:val="0"/>
        <w:spacing w:line="500" w:lineRule="exact"/>
        <w:ind w:firstLine="420" w:firstLineChars="200"/>
      </w:pPr>
      <w:r>
        <w:t>②脾脏检查：取仰卧位或右侧卧位，多用双手触诊法。左手掌置于受检者左腰部第 7～10 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adjustRightInd w:val="0"/>
        <w:snapToGrid w:val="0"/>
        <w:spacing w:line="500" w:lineRule="exact"/>
        <w:ind w:firstLine="420" w:firstLineChars="200"/>
      </w:pPr>
      <w:r>
        <w:t>脾脏软硬度判定：同肝脏软硬度判定。</w:t>
      </w:r>
    </w:p>
    <w:p>
      <w:pPr>
        <w:adjustRightInd w:val="0"/>
        <w:snapToGrid w:val="0"/>
        <w:spacing w:line="500" w:lineRule="exact"/>
        <w:ind w:firstLine="420" w:firstLineChars="200"/>
      </w:pPr>
      <w: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pStyle w:val="4"/>
        <w:adjustRightInd w:val="0"/>
        <w:snapToGrid w:val="0"/>
        <w:spacing w:before="0" w:after="0" w:line="500" w:lineRule="exact"/>
        <w:rPr>
          <w:sz w:val="21"/>
          <w:szCs w:val="21"/>
        </w:rPr>
      </w:pPr>
      <w:bookmarkStart w:id="4" w:name="_Toc391888312"/>
      <w:r>
        <w:rPr>
          <w:rFonts w:hint="eastAsia"/>
          <w:sz w:val="21"/>
          <w:szCs w:val="21"/>
        </w:rPr>
        <w:t xml:space="preserve">    </w:t>
      </w:r>
      <w:r>
        <w:rPr>
          <w:sz w:val="21"/>
          <w:szCs w:val="21"/>
        </w:rPr>
        <w:t>1.3  外科检查</w:t>
      </w:r>
      <w:bookmarkEnd w:id="4"/>
    </w:p>
    <w:p>
      <w:pPr>
        <w:adjustRightInd w:val="0"/>
        <w:snapToGrid w:val="0"/>
        <w:spacing w:line="500" w:lineRule="exact"/>
        <w:ind w:firstLine="420" w:firstLineChars="200"/>
      </w:pPr>
      <w:r>
        <w:t>1.3.1  病史搜集  主要记录受检者曾经做过何种重大手术或外伤史情况，名称及发生的时间，目前功能情况。</w:t>
      </w:r>
    </w:p>
    <w:p>
      <w:pPr>
        <w:adjustRightInd w:val="0"/>
        <w:snapToGrid w:val="0"/>
        <w:spacing w:line="500" w:lineRule="exact"/>
        <w:ind w:firstLine="420" w:firstLineChars="200"/>
      </w:pPr>
      <w:r>
        <w:t>1.3.2  皮肤检查  主要观察有无皮疹、出血点、溃疡、肿物等异常情况，有无慢性、泛发性、传染性或难以治愈的皮肤病。</w:t>
      </w:r>
    </w:p>
    <w:p>
      <w:pPr>
        <w:adjustRightInd w:val="0"/>
        <w:snapToGrid w:val="0"/>
        <w:spacing w:line="500" w:lineRule="exact"/>
        <w:ind w:firstLine="420" w:firstLineChars="200"/>
      </w:pPr>
      <w:r>
        <w:t>1.3.3  浅表淋巴结检查</w:t>
      </w:r>
    </w:p>
    <w:p>
      <w:pPr>
        <w:adjustRightInd w:val="0"/>
        <w:snapToGrid w:val="0"/>
        <w:spacing w:line="500" w:lineRule="exact"/>
        <w:ind w:firstLine="420" w:firstLineChars="200"/>
      </w:pPr>
      <w:r>
        <w:t>1）检查部位：耳前、耳后、乳突区、枕骨下区、颌下区、颏下区、颈前后三角、锁骨上窝、腋窝、滑车上、腹股沟等处，应依次检查，以防遗漏。</w:t>
      </w:r>
    </w:p>
    <w:p>
      <w:pPr>
        <w:adjustRightInd w:val="0"/>
        <w:snapToGrid w:val="0"/>
        <w:spacing w:line="500" w:lineRule="exact"/>
        <w:ind w:firstLine="420" w:firstLineChars="200"/>
      </w:pPr>
      <w:r>
        <w:t>2）检查内容：淋巴结肿大的部位、大小、数目、硬度、压痛、活动度、有无粘连融合，局部皮肤有无红肿，并应注意寻找有无引起淋巴结肿大的原发病灶。</w:t>
      </w:r>
    </w:p>
    <w:p>
      <w:pPr>
        <w:adjustRightInd w:val="0"/>
        <w:snapToGrid w:val="0"/>
        <w:spacing w:line="500" w:lineRule="exact"/>
      </w:pPr>
      <w:r>
        <w:rPr>
          <w:rFonts w:hint="eastAsia"/>
        </w:rPr>
        <w:t xml:space="preserve">    </w:t>
      </w:r>
      <w:r>
        <w:t>1.3.4  头颅检查  观察有无颅骨缺损、凹陷、肿块、畸形等异常，头部运动是否正常，有无活动受限及头部不随意颤动等。可结合病史询问进行。</w:t>
      </w:r>
    </w:p>
    <w:p>
      <w:pPr>
        <w:adjustRightInd w:val="0"/>
        <w:snapToGrid w:val="0"/>
        <w:spacing w:line="500" w:lineRule="exact"/>
        <w:ind w:firstLine="420" w:firstLineChars="200"/>
      </w:pPr>
      <w:r>
        <w:t>1.3.5  甲状腺检查</w:t>
      </w:r>
    </w:p>
    <w:p>
      <w:pPr>
        <w:adjustRightInd w:val="0"/>
        <w:snapToGrid w:val="0"/>
        <w:spacing w:line="500" w:lineRule="exact"/>
        <w:ind w:firstLine="420" w:firstLineChars="200"/>
      </w:pPr>
      <w:r>
        <w:t>1）视诊：除生理性肿大（例如在青春期、妊娠及哺乳期可略增大）外，正常人的甲状腺是看不见和摸不到的。如果肿大，应注意其大小、形状、对称性以及随吞咽动作的活动性。</w:t>
      </w:r>
    </w:p>
    <w:p>
      <w:pPr>
        <w:adjustRightInd w:val="0"/>
        <w:snapToGrid w:val="0"/>
        <w:spacing w:line="500" w:lineRule="exact"/>
        <w:ind w:firstLine="420" w:firstLineChars="200"/>
      </w:pPr>
      <w: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adjustRightInd w:val="0"/>
        <w:snapToGrid w:val="0"/>
        <w:spacing w:line="500" w:lineRule="exact"/>
        <w:ind w:firstLine="420" w:firstLineChars="200"/>
      </w:pPr>
      <w:r>
        <w:t>3）甲状腺肿大的分度：甲状腺肿大可分三度。Ⅰ度，不能看出肿大但能触及者；Ⅱ度，能看到肿大</w:t>
      </w:r>
      <w:r>
        <w:rPr>
          <w:rFonts w:hint="eastAsia"/>
        </w:rPr>
        <w:t>又</w:t>
      </w:r>
      <w:r>
        <w:t>能触及</w:t>
      </w:r>
      <w:r>
        <w:rPr>
          <w:rFonts w:hint="eastAsia"/>
        </w:rPr>
        <w:t>，</w:t>
      </w:r>
      <w:r>
        <w:t>但</w:t>
      </w:r>
      <w:r>
        <w:rPr>
          <w:rFonts w:hint="eastAsia"/>
        </w:rPr>
        <w:t>在</w:t>
      </w:r>
      <w:r>
        <w:t>胸锁乳突肌</w:t>
      </w:r>
      <w:r>
        <w:rPr>
          <w:rFonts w:hint="eastAsia"/>
        </w:rPr>
        <w:t>以内</w:t>
      </w:r>
      <w:r>
        <w:t>者；Ⅲ度，超过胸锁乳突肌</w:t>
      </w:r>
      <w:r>
        <w:rPr>
          <w:rFonts w:hint="eastAsia"/>
        </w:rPr>
        <w:t>外</w:t>
      </w:r>
      <w:r>
        <w:t>缘者。</w:t>
      </w:r>
    </w:p>
    <w:p>
      <w:pPr>
        <w:adjustRightInd w:val="0"/>
        <w:snapToGrid w:val="0"/>
        <w:spacing w:line="500" w:lineRule="exact"/>
        <w:ind w:firstLine="420" w:firstLineChars="200"/>
      </w:pPr>
      <w:r>
        <w:t>4）甲状腺肿大的分型：弥漫型，甲状腺呈均匀性肿大，摸不到结节；结节型，在甲状腺上摸到1个或数个结节；混合型：在弥漫肿大的甲状腺上，摸到1个或数个结节。</w:t>
      </w:r>
    </w:p>
    <w:p>
      <w:pPr>
        <w:adjustRightInd w:val="0"/>
        <w:snapToGrid w:val="0"/>
        <w:spacing w:line="500" w:lineRule="exact"/>
        <w:ind w:firstLine="420" w:firstLineChars="200"/>
      </w:pPr>
      <w:r>
        <w:t>1.3.6  乳腺检查</w:t>
      </w:r>
    </w:p>
    <w:p>
      <w:pPr>
        <w:adjustRightInd w:val="0"/>
        <w:snapToGrid w:val="0"/>
        <w:spacing w:line="500" w:lineRule="exact"/>
        <w:ind w:firstLine="420" w:firstLineChars="200"/>
      </w:pPr>
      <w:r>
        <w:t>1）检查体位：受检者一般取坐位，必要时也可结合仰卧位检查。</w:t>
      </w:r>
    </w:p>
    <w:p>
      <w:pPr>
        <w:adjustRightInd w:val="0"/>
        <w:snapToGrid w:val="0"/>
        <w:spacing w:line="500" w:lineRule="exact"/>
        <w:ind w:firstLine="420" w:firstLineChars="200"/>
      </w:pPr>
      <w:r>
        <w:t>2）视诊：观察乳腺外形是否对称（如果不对称，应查明原因），是否有局限性隆起或凹陷，乳头有无内陷、糜烂或异常分泌物，乳腺皮肤有无红肿、静脉曲张、溃疡、酒窝状改变或桔皮样变。</w:t>
      </w:r>
    </w:p>
    <w:p>
      <w:pPr>
        <w:adjustRightInd w:val="0"/>
        <w:snapToGrid w:val="0"/>
        <w:spacing w:line="500" w:lineRule="exact"/>
        <w:ind w:firstLine="420" w:firstLineChars="200"/>
      </w:pPr>
      <w: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adjustRightInd w:val="0"/>
        <w:snapToGrid w:val="0"/>
        <w:spacing w:line="500" w:lineRule="exact"/>
        <w:ind w:firstLine="420" w:firstLineChars="200"/>
      </w:pPr>
      <w:r>
        <w:t>对男性应观察其乳腺发育情况，触诊时注意有无异常肿物。</w:t>
      </w:r>
    </w:p>
    <w:p>
      <w:pPr>
        <w:adjustRightInd w:val="0"/>
        <w:snapToGrid w:val="0"/>
        <w:spacing w:line="500" w:lineRule="exact"/>
        <w:ind w:firstLine="420" w:firstLineChars="200"/>
      </w:pPr>
      <w:r>
        <w:t>1.3.7  脊柱、四肢关节检查</w:t>
      </w:r>
    </w:p>
    <w:p>
      <w:pPr>
        <w:adjustRightInd w:val="0"/>
        <w:snapToGrid w:val="0"/>
        <w:spacing w:line="500" w:lineRule="exact"/>
        <w:ind w:firstLine="420" w:firstLineChars="200"/>
      </w:pPr>
      <w:r>
        <w:t>1）脊柱：受检者需充分暴露背部，观察脊柱有无侧弯、后凸或前凸，脊椎活动度，有无活动受限及畸形，有无压痛及叩击痛等。</w:t>
      </w:r>
    </w:p>
    <w:p>
      <w:pPr>
        <w:adjustRightInd w:val="0"/>
        <w:snapToGrid w:val="0"/>
        <w:spacing w:line="500" w:lineRule="exact"/>
        <w:ind w:firstLine="420" w:firstLineChars="200"/>
      </w:pPr>
      <w:r>
        <w:t>2）四肢关节：检查时应充分暴露被检部位，注意双侧对比，观察四肢的外形及功能，步态，肢体活动情况，有无关节畸形或功能障碍，下肢有无水肿、静脉曲张、色素沉着或溃疡等。</w:t>
      </w:r>
    </w:p>
    <w:p>
      <w:pPr>
        <w:adjustRightInd w:val="0"/>
        <w:snapToGrid w:val="0"/>
        <w:spacing w:line="500" w:lineRule="exact"/>
        <w:ind w:firstLine="420" w:firstLineChars="200"/>
      </w:pPr>
      <w:r>
        <w:t>1.3.8  外生殖器检查  此项检查主要针对男性；女性生殖器的检查列入妇科检查项目。</w:t>
      </w:r>
    </w:p>
    <w:p>
      <w:pPr>
        <w:adjustRightInd w:val="0"/>
        <w:snapToGrid w:val="0"/>
        <w:spacing w:line="500" w:lineRule="exact"/>
        <w:ind w:firstLine="420" w:firstLineChars="200"/>
      </w:pPr>
      <w:r>
        <w:t>注意有无发育异常、畸形、疝、精索静脉曲张、鞘膜积液、睾丸结节、附睾结节、肿物及性病等。</w:t>
      </w:r>
    </w:p>
    <w:p>
      <w:pPr>
        <w:adjustRightInd w:val="0"/>
        <w:snapToGrid w:val="0"/>
        <w:spacing w:line="500" w:lineRule="exact"/>
        <w:ind w:firstLine="420" w:firstLineChars="200"/>
      </w:pPr>
      <w:r>
        <w:t>精索静脉曲张的判定：轻度，阴囊外观正常，拉紧阴囊皮肤时可见阴囊内有少数静脉曲张，腹压增加时静脉无明显增粗，触诊静脉壁柔软；中度，未拉紧阴囊皮肤时即见静脉曲张，腹压增加时静脉稍增粗，触诊静脉壁柔软、迂曲、稍膨胀；重度，未拉紧阴囊皮肤时即可见阴囊内静脉成团状迂曲、怒张，触诊静脉壁粗硬、肥厚或伴有患侧睾丸萎缩。</w:t>
      </w:r>
    </w:p>
    <w:p>
      <w:pPr>
        <w:pStyle w:val="6"/>
        <w:adjustRightInd w:val="0"/>
        <w:snapToGrid w:val="0"/>
        <w:spacing w:line="500" w:lineRule="exact"/>
      </w:pPr>
      <w:r>
        <w:t>1.3.9  肛诊检查  包括肛门视诊和直肠指诊。</w:t>
      </w:r>
    </w:p>
    <w:p>
      <w:pPr>
        <w:pStyle w:val="6"/>
        <w:adjustRightInd w:val="0"/>
        <w:snapToGrid w:val="0"/>
        <w:spacing w:line="500" w:lineRule="exact"/>
      </w:pPr>
      <w:r>
        <w:t>1）肛门视诊：受检者取膝胸位，检查者以两手拇指将两侧臀部轻轻分开，观察有无肛周感染、肛裂、肛瘘、直肠脱垂及痔疮。</w:t>
      </w:r>
    </w:p>
    <w:p>
      <w:pPr>
        <w:adjustRightInd w:val="0"/>
        <w:snapToGrid w:val="0"/>
        <w:spacing w:line="500" w:lineRule="exact"/>
        <w:ind w:firstLine="420" w:firstLineChars="200"/>
      </w:pPr>
      <w:r>
        <w:t>2）直肠指诊：受检者取膝胸位，检查时，嘱受检者保持肌肉松弛，避免肛门括约肌紧张。检查者右手戴一次性手套，食指涂以润滑剂，在受检者深呼吸时缓慢插入肛门内进行检查，着重注意有无肛管、直肠肿块及溃疡。指诊完毕，医师应查看指套有无血性或脓性分泌物。</w:t>
      </w:r>
    </w:p>
    <w:p>
      <w:pPr>
        <w:pStyle w:val="6"/>
        <w:adjustRightInd w:val="0"/>
        <w:snapToGrid w:val="0"/>
        <w:spacing w:line="500" w:lineRule="exact"/>
      </w:pPr>
      <w:r>
        <w:t>对男性受检者同时注意检查前列腺的大小、形状、质地、压痛、光滑度、有无结节等。</w:t>
      </w:r>
    </w:p>
    <w:p>
      <w:pPr>
        <w:adjustRightInd w:val="0"/>
        <w:snapToGrid w:val="0"/>
        <w:spacing w:line="500" w:lineRule="exact"/>
        <w:ind w:firstLine="420" w:firstLineChars="200"/>
      </w:pPr>
      <w:r>
        <w:t>注意：对外科阳性体征的描述，例如发现异常结节、肿物等，描述应统一以厘米（</w:t>
      </w:r>
      <w:r>
        <w:rPr>
          <w:rFonts w:hint="eastAsia"/>
        </w:rPr>
        <w:t>cm</w:t>
      </w:r>
      <w:r>
        <w:t>）为单位，而不能用比喻的方法，如蚕豆大等。</w:t>
      </w:r>
    </w:p>
    <w:p>
      <w:pPr>
        <w:pStyle w:val="4"/>
        <w:adjustRightInd w:val="0"/>
        <w:snapToGrid w:val="0"/>
        <w:spacing w:before="0" w:after="0" w:line="500" w:lineRule="exact"/>
        <w:rPr>
          <w:sz w:val="21"/>
          <w:szCs w:val="21"/>
        </w:rPr>
      </w:pPr>
      <w:bookmarkStart w:id="5" w:name="_Toc391888313"/>
      <w:r>
        <w:rPr>
          <w:rFonts w:hint="eastAsia"/>
          <w:sz w:val="21"/>
          <w:szCs w:val="21"/>
        </w:rPr>
        <w:t xml:space="preserve">    </w:t>
      </w:r>
      <w:r>
        <w:rPr>
          <w:sz w:val="21"/>
          <w:szCs w:val="21"/>
        </w:rPr>
        <w:t>1.4  眼科检查</w:t>
      </w:r>
      <w:bookmarkEnd w:id="5"/>
    </w:p>
    <w:p>
      <w:pPr>
        <w:adjustRightInd w:val="0"/>
        <w:snapToGrid w:val="0"/>
        <w:spacing w:line="500" w:lineRule="exact"/>
      </w:pPr>
      <w:r>
        <w:t xml:space="preserve">    视功能包括视力、色觉、视野、暗适应、立体视觉等，在公务员录用体检中，只有视力及色觉作为常规检查项目。</w:t>
      </w:r>
    </w:p>
    <w:p>
      <w:pPr>
        <w:adjustRightInd w:val="0"/>
        <w:snapToGrid w:val="0"/>
        <w:spacing w:line="500" w:lineRule="exact"/>
        <w:ind w:firstLine="420" w:firstLineChars="200"/>
      </w:pPr>
      <w:r>
        <w:t>1.4.1  视力检查  包括裸眼视力和矫正视力。</w:t>
      </w:r>
    </w:p>
    <w:p>
      <w:pPr>
        <w:adjustRightInd w:val="0"/>
        <w:snapToGrid w:val="0"/>
        <w:spacing w:line="500" w:lineRule="exact"/>
        <w:ind w:firstLine="420" w:firstLineChars="200"/>
      </w:pPr>
      <w:r>
        <w:t>1）检查方法：采用标准对数视力表（国家标准）进行检查，按5分记录法记录检查结果。按常规先查右眼后查左眼，分别记录右眼、左眼视力。</w:t>
      </w:r>
    </w:p>
    <w:p>
      <w:pPr>
        <w:adjustRightInd w:val="0"/>
        <w:snapToGrid w:val="0"/>
        <w:spacing w:line="500" w:lineRule="exact"/>
        <w:ind w:firstLine="420" w:firstLineChars="200"/>
      </w:pPr>
      <w:r>
        <w:t>视力检查由大视标或酌情从任何一行开始，每个视标辨认时间不应超过5秒，受检者能顺利认出2～3个视标即可指认下一行视标，记录最佳视力，最佳一行必须确认该行中半数以上视标。如果在5米处不能辨认4.0时，受检者应向视力表走近，根据走近距离（受检者距视力表的距离），对照“视力小数记录折算5分记录对照表”（见附录B）记录视力。如果走近距视力表1米处仍不能辨认4.0时，则检查指数（CF），检查者伸出不同数目的手指，嘱受检者说明有几个手指，距离从1米开始，逐渐走近，直到能正确辨认为止，记录为CF/距离，例如CF/30厘米。如果在5厘米处仍不能识别手指，则检查手动（H</w:t>
      </w:r>
      <w:r>
        <w:rPr>
          <w:rFonts w:hint="eastAsia"/>
        </w:rPr>
        <w:t>米</w:t>
      </w:r>
      <w:r>
        <w:t>），检查者的手在受检者眼前摆动，能识别者记录为H</w:t>
      </w:r>
      <w:r>
        <w:rPr>
          <w:rFonts w:hint="eastAsia"/>
        </w:rPr>
        <w:t>米</w:t>
      </w:r>
      <w:r>
        <w:t xml:space="preserve">。如果眼前手动也不能识别，则检查光感（LP），检查者在5米处用手电筒照射受检眼，测试有无光亮，逐渐走近，有光亮记录为LP/距离，如LP/3 </w:t>
      </w:r>
      <w:r>
        <w:rPr>
          <w:rFonts w:hint="eastAsia"/>
        </w:rPr>
        <w:t>米</w:t>
      </w:r>
      <w:r>
        <w:t>，无光亮则记录为无光感（NLP）。</w:t>
      </w:r>
    </w:p>
    <w:p>
      <w:pPr>
        <w:adjustRightInd w:val="0"/>
        <w:snapToGrid w:val="0"/>
        <w:spacing w:line="500" w:lineRule="exact"/>
        <w:ind w:firstLine="420" w:firstLineChars="200"/>
      </w:pPr>
      <w:r>
        <w:t>裸眼视力达标（4.9以上）者不必再查矫正视力。戴眼镜或隐形眼镜者，可直接检查矫正视力；未戴眼镜者可通过串镜（列镜）检查矫正视力，矫正视力达标即可作出视力合格的结论。</w:t>
      </w:r>
    </w:p>
    <w:p>
      <w:pPr>
        <w:adjustRightInd w:val="0"/>
        <w:snapToGrid w:val="0"/>
        <w:spacing w:line="500" w:lineRule="exact"/>
        <w:ind w:firstLine="420" w:firstLineChars="200"/>
      </w:pPr>
      <w:r>
        <w:t xml:space="preserve">2）注意事项：视力表与受检者之间的距离为5 </w:t>
      </w:r>
      <w:r>
        <w:rPr>
          <w:rFonts w:hint="eastAsia"/>
        </w:rPr>
        <w:t>米</w:t>
      </w:r>
      <w:r>
        <w:t xml:space="preserve">，若用反光镜则为2.5 </w:t>
      </w:r>
      <w:r>
        <w:rPr>
          <w:rFonts w:hint="eastAsia"/>
        </w:rPr>
        <w:t>米</w:t>
      </w:r>
      <w:r>
        <w:t xml:space="preserve">。也可直接采用2.5 </w:t>
      </w:r>
      <w:r>
        <w:rPr>
          <w:rFonts w:hint="eastAsia"/>
        </w:rPr>
        <w:t>米</w:t>
      </w:r>
      <w:r>
        <w:t>距离视力表检查。受检者双眼应与视力表5.0行等高。</w:t>
      </w:r>
    </w:p>
    <w:p>
      <w:pPr>
        <w:adjustRightInd w:val="0"/>
        <w:snapToGrid w:val="0"/>
        <w:spacing w:line="500" w:lineRule="exact"/>
        <w:ind w:firstLine="420" w:firstLineChars="200"/>
      </w:pPr>
      <w:r>
        <w:t>视力表应安装在光线充足的地方，以自然光线为宜；自然光线不足时，采用人工照明，并保证光线充足、均匀。</w:t>
      </w:r>
    </w:p>
    <w:p>
      <w:pPr>
        <w:pStyle w:val="12"/>
        <w:numPr>
          <w:ilvl w:val="2"/>
          <w:numId w:val="1"/>
        </w:numPr>
        <w:adjustRightInd w:val="0"/>
        <w:snapToGrid w:val="0"/>
        <w:spacing w:line="500" w:lineRule="exact"/>
        <w:ind w:firstLineChars="0"/>
        <w:rPr>
          <w:rFonts w:ascii="Times New Roman" w:hAnsi="Times New Roman"/>
        </w:rPr>
      </w:pPr>
      <w:r>
        <w:rPr>
          <w:rFonts w:ascii="Times New Roman" w:hAnsi="Times New Roman"/>
        </w:rPr>
        <w:t>色觉检查  色觉检查作为体检的常规项目之一，检查者应掌握正确的检查方法，</w:t>
      </w:r>
    </w:p>
    <w:p>
      <w:pPr>
        <w:pStyle w:val="12"/>
        <w:adjustRightInd w:val="0"/>
        <w:snapToGrid w:val="0"/>
        <w:spacing w:line="500" w:lineRule="exact"/>
        <w:ind w:firstLine="0" w:firstLineChars="0"/>
        <w:rPr>
          <w:rFonts w:ascii="Times New Roman" w:hAnsi="Times New Roman"/>
        </w:rPr>
      </w:pPr>
      <w:r>
        <w:rPr>
          <w:rFonts w:ascii="Times New Roman" w:hAnsi="Times New Roman"/>
        </w:rPr>
        <w:t>并如实记录检查结果，以全面反映受检者的视功能情况。</w:t>
      </w:r>
    </w:p>
    <w:p>
      <w:pPr>
        <w:pStyle w:val="12"/>
        <w:adjustRightInd w:val="0"/>
        <w:snapToGrid w:val="0"/>
        <w:spacing w:line="500" w:lineRule="exact"/>
        <w:rPr>
          <w:rFonts w:ascii="Times New Roman" w:hAnsi="Times New Roman"/>
        </w:rPr>
      </w:pPr>
      <w:r>
        <w:rPr>
          <w:rFonts w:ascii="Times New Roman" w:hAnsi="Times New Roman"/>
        </w:rPr>
        <w:t>采用标准色觉检查图谱，例如《喻自萍色盲本》或空军后勤部卫生部编印的《色觉检查图》等，须由眼科医师或受过培训的眼科护士检查。</w:t>
      </w:r>
    </w:p>
    <w:p>
      <w:pPr>
        <w:adjustRightInd w:val="0"/>
        <w:snapToGrid w:val="0"/>
        <w:spacing w:line="500" w:lineRule="exact"/>
        <w:ind w:firstLine="420" w:firstLineChars="200"/>
      </w:pPr>
      <w:r>
        <w:t>色觉检查应在良好的自然光线下进行，光线不可直接照到图谱上。受检者双眼距离图谱60～80厘米，视线与图谱垂直，辨认每张图片的时间一般应≤10秒。图片的检查次序随机选择。检查结果应根据所用图谱的规定评定。</w:t>
      </w:r>
    </w:p>
    <w:p>
      <w:pPr>
        <w:adjustRightInd w:val="0"/>
        <w:snapToGrid w:val="0"/>
        <w:spacing w:line="500" w:lineRule="exact"/>
        <w:ind w:firstLine="420" w:firstLineChars="200"/>
      </w:pPr>
      <w:r>
        <w:t>色觉检查，一定要按步骤有序进行。首先，确定色觉是否正常；其次，对色觉异常者，确定是色弱还是色盲；最后，对色盲者，采用单色识别能力检查法，即用红、黄、绿、蓝、紫色卡片，确定是否为单色识别能力异常，如单色识别能力完全异常，则为即全色盲，系指对各种颜色的识别能力完全丧失。</w:t>
      </w:r>
    </w:p>
    <w:p>
      <w:pPr>
        <w:adjustRightInd w:val="0"/>
        <w:snapToGrid w:val="0"/>
        <w:spacing w:line="500" w:lineRule="exact"/>
        <w:ind w:firstLine="420" w:firstLineChars="200"/>
      </w:pPr>
      <w:r>
        <w:t>1.4.3  其他  针对眼科常见的重点疾病进行检查，检查部位包括眼睑、结膜、泪器、眼眶、眼肌、角膜、巩膜、前房、虹膜、瞳孔、晶体、玻璃体、眼底。</w:t>
      </w:r>
    </w:p>
    <w:p>
      <w:pPr>
        <w:adjustRightInd w:val="0"/>
        <w:snapToGrid w:val="0"/>
        <w:spacing w:line="500" w:lineRule="exact"/>
        <w:ind w:firstLine="420" w:firstLineChars="200"/>
      </w:pPr>
      <w:r>
        <w:t>1）眼睑：注意有无先天异常如</w:t>
      </w:r>
      <w:r>
        <w:rPr>
          <w:lang w:val="en-GB"/>
        </w:rPr>
        <w:t>睑</w:t>
      </w:r>
      <w:r>
        <w:t>裂缩小等，双眼睑是否对称，有无睑裂缺损、眼睑水肿、肿瘤等，有无眼睑内翻、外翻、上睑下垂等，嘱受检者闭眼，检查有无眼睑闭合不全。</w:t>
      </w:r>
    </w:p>
    <w:p>
      <w:pPr>
        <w:adjustRightInd w:val="0"/>
        <w:snapToGrid w:val="0"/>
        <w:spacing w:line="500" w:lineRule="exact"/>
        <w:ind w:firstLine="420" w:firstLineChars="200"/>
        <w:rPr>
          <w:lang w:val="en-GB"/>
        </w:rPr>
      </w:pPr>
      <w:r>
        <w:rPr>
          <w:lang w:val="en-GB"/>
        </w:rPr>
        <w:t>2）结膜：</w:t>
      </w:r>
    </w:p>
    <w:p>
      <w:pPr>
        <w:adjustRightInd w:val="0"/>
        <w:snapToGrid w:val="0"/>
        <w:spacing w:line="500" w:lineRule="exact"/>
        <w:ind w:firstLine="420" w:firstLineChars="200"/>
        <w:rPr>
          <w:lang w:val="en-GB"/>
        </w:rPr>
      </w:pPr>
      <w:r>
        <w:rPr>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adjustRightInd w:val="0"/>
        <w:snapToGrid w:val="0"/>
        <w:spacing w:line="500" w:lineRule="exact"/>
        <w:ind w:firstLine="420" w:firstLineChars="200"/>
        <w:rPr>
          <w:lang w:val="en-GB"/>
        </w:rPr>
      </w:pPr>
      <w:r>
        <w:rPr>
          <w:lang w:val="en-GB"/>
        </w:rPr>
        <w:t>②检查方法：检查上睑结膜时，嘱受检者放松眼睑，向下方注视，翻转上睑，使上睑结膜暴露；检查下睑结膜时，将下睑向下方牵拉，嘱受检者向上注视即可充分暴露（戴隐形眼镜者应先摘除隐形眼镜）。</w:t>
      </w:r>
    </w:p>
    <w:p>
      <w:pPr>
        <w:adjustRightInd w:val="0"/>
        <w:snapToGrid w:val="0"/>
        <w:spacing w:line="500" w:lineRule="exact"/>
        <w:ind w:firstLine="420" w:firstLineChars="200"/>
        <w:rPr>
          <w:lang w:val="en-GB"/>
        </w:rPr>
      </w:pPr>
      <w:r>
        <w:rPr>
          <w:lang w:val="en-GB"/>
        </w:rPr>
        <w:t>球结膜暴露较容易，以拇指和食指将上下睑分开，嘱受检者向各方向注视转动眼球即可充分暴露整个眼球，检查时切忌压迫眼球。</w:t>
      </w:r>
    </w:p>
    <w:p>
      <w:pPr>
        <w:adjustRightInd w:val="0"/>
        <w:snapToGrid w:val="0"/>
        <w:spacing w:line="500" w:lineRule="exact"/>
        <w:ind w:firstLine="420" w:firstLineChars="200"/>
        <w:rPr>
          <w:lang w:val="en-GB"/>
        </w:rPr>
      </w:pPr>
      <w:r>
        <w:rPr>
          <w:lang w:val="en-GB"/>
        </w:rPr>
        <w:t>3）泪器：</w:t>
      </w:r>
    </w:p>
    <w:p>
      <w:pPr>
        <w:adjustRightInd w:val="0"/>
        <w:snapToGrid w:val="0"/>
        <w:spacing w:line="500" w:lineRule="exact"/>
        <w:ind w:firstLine="420" w:firstLineChars="200"/>
        <w:rPr>
          <w:lang w:val="en-GB"/>
        </w:rPr>
      </w:pPr>
      <w:r>
        <w:rPr>
          <w:lang w:val="en-GB"/>
        </w:rPr>
        <w:t>①视诊：观察泪腺、泪道部位有无异常变化。例如泪腺有无肿胀，泪点是否正位、是否开放，泪囊区皮肤有无红肿，有无溢泪。</w:t>
      </w:r>
    </w:p>
    <w:p>
      <w:pPr>
        <w:adjustRightInd w:val="0"/>
        <w:snapToGrid w:val="0"/>
        <w:spacing w:line="500" w:lineRule="exact"/>
        <w:ind w:firstLine="420" w:firstLineChars="200"/>
        <w:rPr>
          <w:lang w:val="en-GB"/>
        </w:rPr>
      </w:pPr>
      <w:r>
        <w:rPr>
          <w:lang w:val="en-GB"/>
        </w:rPr>
        <w:t>②触诊：检查泪囊时用食指挤压泪囊部，观察有无触痛及波动感，有无脓液自泪点逆流出来或进入鼻腔。</w:t>
      </w:r>
    </w:p>
    <w:p>
      <w:pPr>
        <w:adjustRightInd w:val="0"/>
        <w:snapToGrid w:val="0"/>
        <w:spacing w:line="500" w:lineRule="exact"/>
        <w:ind w:firstLine="420" w:firstLineChars="200"/>
        <w:rPr>
          <w:lang w:val="en-GB"/>
        </w:rPr>
      </w:pPr>
      <w:r>
        <w:rPr>
          <w:lang w:val="en-GB"/>
        </w:rPr>
        <w:t>4）眼眶：检查眼球突出或凹陷情况，触诊眶内压，观察有无眼眶肿瘤、炎症(炎性假瘤、眶蜂窝织炎、眶脓肿)、血管畸形、甲状腺相关眼病、眼眶外伤等。</w:t>
      </w:r>
    </w:p>
    <w:p>
      <w:pPr>
        <w:adjustRightInd w:val="0"/>
        <w:snapToGrid w:val="0"/>
        <w:spacing w:line="500" w:lineRule="exact"/>
        <w:ind w:firstLine="420" w:firstLineChars="200"/>
        <w:rPr>
          <w:lang w:val="en-GB"/>
        </w:rPr>
      </w:pPr>
      <w:r>
        <w:rPr>
          <w:lang w:val="en-GB"/>
        </w:rPr>
        <w:t>5）眼肌：是否存在斜视、是否存在假斜视及眼位偏斜的度数。</w:t>
      </w:r>
    </w:p>
    <w:p>
      <w:pPr>
        <w:adjustRightInd w:val="0"/>
        <w:snapToGrid w:val="0"/>
        <w:spacing w:line="500" w:lineRule="exact"/>
        <w:ind w:firstLine="420" w:firstLineChars="200"/>
        <w:rPr>
          <w:lang w:val="en-GB"/>
        </w:rPr>
      </w:pPr>
      <w:r>
        <w:rPr>
          <w:lang w:val="en-GB"/>
        </w:rPr>
        <w:t>⑴眼位检查：</w:t>
      </w:r>
    </w:p>
    <w:p>
      <w:pPr>
        <w:adjustRightInd w:val="0"/>
        <w:snapToGrid w:val="0"/>
        <w:spacing w:line="500" w:lineRule="exact"/>
        <w:ind w:firstLine="420" w:firstLineChars="200"/>
        <w:rPr>
          <w:lang w:val="en-GB"/>
        </w:rPr>
      </w:pPr>
      <w:r>
        <w:rPr>
          <w:lang w:val="en-GB"/>
        </w:rPr>
        <w:t>①遮盖法：遮盖法是通过破坏</w:t>
      </w:r>
      <w:r>
        <w:t>受</w:t>
      </w:r>
      <w:r>
        <w:rPr>
          <w:lang w:val="en-GB"/>
        </w:rPr>
        <w:t>检者的融合功能，发现眼位有否偏斜。</w:t>
      </w:r>
      <w:r>
        <w:t>受</w:t>
      </w:r>
      <w:r>
        <w:rPr>
          <w:lang w:val="en-GB"/>
        </w:rPr>
        <w:t>检者双眼应具备一定注视能力并无眼球运动障碍，才可获得可靠结果。包括以下两种方法：</w:t>
      </w:r>
    </w:p>
    <w:p>
      <w:pPr>
        <w:adjustRightInd w:val="0"/>
        <w:snapToGrid w:val="0"/>
        <w:spacing w:line="500" w:lineRule="exact"/>
        <w:ind w:firstLine="420" w:firstLineChars="200"/>
        <w:rPr>
          <w:lang w:val="en-GB"/>
        </w:rPr>
      </w:pPr>
      <w:r>
        <w:rPr>
          <w:lang w:val="en-GB"/>
        </w:rPr>
        <w:t xml:space="preserve">交替遮盖法：为判断斜视性质的定性检查，主要用于检查有无隐斜视及间歇性斜视。检查距离为33 </w:t>
      </w:r>
      <w:r>
        <w:rPr>
          <w:rFonts w:hint="eastAsia"/>
          <w:lang w:val="en-GB"/>
        </w:rPr>
        <w:t>厘米</w:t>
      </w:r>
      <w:r>
        <w:rPr>
          <w:lang w:val="en-GB"/>
        </w:rPr>
        <w:t xml:space="preserve">和6 </w:t>
      </w:r>
      <w:r>
        <w:rPr>
          <w:rFonts w:hint="eastAsia"/>
          <w:lang w:val="en-GB"/>
        </w:rPr>
        <w:t>米</w:t>
      </w:r>
      <w:r>
        <w:rPr>
          <w:lang w:val="en-GB"/>
        </w:rPr>
        <w:t>，受检者注视调节视标，遮盖一眼4～5秒后迅速转移遮盖另外一眼，通过观察去遮盖眼瞬间的运动情况作出判断。</w:t>
      </w:r>
    </w:p>
    <w:p>
      <w:pPr>
        <w:adjustRightInd w:val="0"/>
        <w:snapToGrid w:val="0"/>
        <w:spacing w:line="500" w:lineRule="exact"/>
        <w:ind w:firstLine="420" w:firstLineChars="200"/>
        <w:rPr>
          <w:lang w:val="en-GB"/>
        </w:rPr>
      </w:pPr>
      <w:r>
        <w:rPr>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adjustRightInd w:val="0"/>
        <w:snapToGrid w:val="0"/>
        <w:spacing w:line="500" w:lineRule="exact"/>
        <w:ind w:firstLine="420" w:firstLineChars="200"/>
        <w:rPr>
          <w:lang w:val="en-GB"/>
        </w:rPr>
      </w:pPr>
      <w:r>
        <w:rPr>
          <w:lang w:val="en-GB"/>
        </w:rPr>
        <w:t xml:space="preserve">②角膜映光法：受检者以自然姿势注视正前方视标(33 </w:t>
      </w:r>
      <w:r>
        <w:rPr>
          <w:rFonts w:hint="eastAsia"/>
          <w:lang w:val="en-GB"/>
        </w:rPr>
        <w:t>厘米</w:t>
      </w:r>
      <w:r>
        <w:rPr>
          <w:lang w:val="en-GB"/>
        </w:rPr>
        <w:t>处)，根据双眼角膜光反射点(映光点)的位置及光反射点偏离瞳孔中心的距离加以判断。如果两眼位置正常，则光反射点位于两眼角膜中心，斜视度为0</w:t>
      </w:r>
      <w:r>
        <w:rPr>
          <w:szCs w:val="30"/>
        </w:rPr>
        <w:t>°</w:t>
      </w:r>
      <w:r>
        <w:rPr>
          <w:lang w:val="en-GB"/>
        </w:rPr>
        <w:t>；光反射点位于一眼瞳孔缘内侧或外侧，该眼约为外斜或内斜15</w:t>
      </w:r>
      <w:r>
        <w:rPr>
          <w:szCs w:val="30"/>
        </w:rPr>
        <w:t>°</w:t>
      </w:r>
      <w:r>
        <w:rPr>
          <w:lang w:val="en-GB"/>
        </w:rPr>
        <w:t>；位于角膜缘与角膜中心1/2处，斜视约为30</w:t>
      </w:r>
      <w:r>
        <w:rPr>
          <w:szCs w:val="30"/>
        </w:rPr>
        <w:t>°</w:t>
      </w:r>
      <w:r>
        <w:rPr>
          <w:lang w:val="en-GB"/>
        </w:rPr>
        <w:t>；位于角膜缘，则斜视约为45</w:t>
      </w:r>
      <w:r>
        <w:rPr>
          <w:szCs w:val="30"/>
        </w:rPr>
        <w:t>°</w:t>
      </w:r>
      <w:r>
        <w:rPr>
          <w:lang w:val="en-GB"/>
        </w:rPr>
        <w:t>。</w:t>
      </w:r>
    </w:p>
    <w:p>
      <w:pPr>
        <w:adjustRightInd w:val="0"/>
        <w:snapToGrid w:val="0"/>
        <w:spacing w:line="500" w:lineRule="exact"/>
        <w:ind w:firstLine="420" w:firstLineChars="200"/>
        <w:rPr>
          <w:lang w:val="en-GB"/>
        </w:rPr>
      </w:pPr>
      <w:r>
        <w:rPr>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adjustRightInd w:val="0"/>
        <w:snapToGrid w:val="0"/>
        <w:spacing w:line="500" w:lineRule="exact"/>
        <w:ind w:firstLine="420" w:firstLineChars="200"/>
        <w:rPr>
          <w:lang w:val="en-GB"/>
        </w:rPr>
      </w:pPr>
      <w:r>
        <w:rPr>
          <w:lang w:val="en-GB"/>
        </w:rPr>
        <w:t>6）角膜：可持手电筒对角膜做一般性检查，观察角膜大小、弧度以及有无混浊、血管翳、炎症浸润、溃疡及先天性异常等，必要时配合裂隙灯检查。</w:t>
      </w:r>
    </w:p>
    <w:p>
      <w:pPr>
        <w:adjustRightInd w:val="0"/>
        <w:snapToGrid w:val="0"/>
        <w:spacing w:line="500" w:lineRule="exact"/>
        <w:ind w:firstLine="420" w:firstLineChars="200"/>
        <w:rPr>
          <w:lang w:val="en-GB"/>
        </w:rPr>
      </w:pPr>
      <w:r>
        <w:rPr>
          <w:lang w:val="en-GB"/>
        </w:rPr>
        <w:t>7）巩膜：首先观察睑裂部分，然后分开上、下眼睑并嘱受检者朝各方向转动眼球，充分暴露各部分巩膜，注意有无巩膜黄染。</w:t>
      </w:r>
    </w:p>
    <w:p>
      <w:pPr>
        <w:adjustRightInd w:val="0"/>
        <w:snapToGrid w:val="0"/>
        <w:spacing w:line="500" w:lineRule="exact"/>
        <w:ind w:firstLine="420" w:firstLineChars="200"/>
        <w:rPr>
          <w:lang w:val="en-GB"/>
        </w:rPr>
      </w:pPr>
      <w:r>
        <w:rPr>
          <w:lang w:val="en-GB"/>
        </w:rPr>
        <w:t>8）前房：了解前房深度和内容（正常前房深度为轴深3.0～3.5</w:t>
      </w:r>
      <w:r>
        <w:rPr>
          <w:rFonts w:hint="eastAsia"/>
        </w:rPr>
        <w:t xml:space="preserve"> mm</w:t>
      </w:r>
      <w:r>
        <w:rPr>
          <w:lang w:val="en-GB"/>
        </w:rPr>
        <w:t>）。</w:t>
      </w:r>
    </w:p>
    <w:p>
      <w:pPr>
        <w:adjustRightInd w:val="0"/>
        <w:snapToGrid w:val="0"/>
        <w:spacing w:line="500" w:lineRule="exact"/>
        <w:ind w:firstLine="420" w:firstLineChars="200"/>
        <w:rPr>
          <w:lang w:val="en-GB"/>
        </w:rPr>
      </w:pPr>
      <w:r>
        <w:rPr>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adjustRightInd w:val="0"/>
        <w:snapToGrid w:val="0"/>
        <w:spacing w:line="500" w:lineRule="exact"/>
        <w:ind w:firstLine="420" w:firstLineChars="200"/>
        <w:rPr>
          <w:lang w:val="en-GB"/>
        </w:rPr>
      </w:pPr>
      <w:r>
        <w:rPr>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adjustRightInd w:val="0"/>
        <w:snapToGrid w:val="0"/>
        <w:spacing w:line="500" w:lineRule="exact"/>
        <w:ind w:firstLine="420" w:firstLineChars="200"/>
        <w:rPr>
          <w:lang w:val="en-GB"/>
        </w:rPr>
      </w:pPr>
      <w:r>
        <w:rPr>
          <w:lang w:val="en-GB"/>
        </w:rPr>
        <w:t>9）虹膜：用聚光灯泡手电筒检查，必要时结合裂隙灯检查。</w:t>
      </w:r>
    </w:p>
    <w:p>
      <w:pPr>
        <w:adjustRightInd w:val="0"/>
        <w:snapToGrid w:val="0"/>
        <w:spacing w:line="500" w:lineRule="exact"/>
        <w:ind w:firstLine="420" w:firstLineChars="200"/>
        <w:rPr>
          <w:lang w:val="en-GB"/>
        </w:rPr>
      </w:pPr>
      <w:r>
        <w:rPr>
          <w:lang w:val="en-GB"/>
        </w:rPr>
        <w:t>①虹膜颜色：有无色素增多或色素脱失，注意两眼对比。虹膜有炎症时，常可因虹膜充血而色变暗，但在虹膜睫状体炎时患侧虹膜则变浅。还应注意检查虹膜纹理是否清晰。</w:t>
      </w:r>
    </w:p>
    <w:p>
      <w:pPr>
        <w:adjustRightInd w:val="0"/>
        <w:snapToGrid w:val="0"/>
        <w:spacing w:line="500" w:lineRule="exact"/>
        <w:ind w:firstLine="420" w:firstLineChars="200"/>
        <w:rPr>
          <w:lang w:val="en-GB"/>
        </w:rPr>
      </w:pPr>
      <w:r>
        <w:rPr>
          <w:lang w:val="en-GB"/>
        </w:rPr>
        <w:t>②瞳孔缘：是否完整，有无撕裂、瘢痕或萎缩。</w:t>
      </w:r>
    </w:p>
    <w:p>
      <w:pPr>
        <w:adjustRightInd w:val="0"/>
        <w:snapToGrid w:val="0"/>
        <w:spacing w:line="500" w:lineRule="exact"/>
        <w:ind w:firstLine="420" w:firstLineChars="200"/>
        <w:rPr>
          <w:lang w:val="en-GB"/>
        </w:rPr>
      </w:pPr>
      <w:r>
        <w:rPr>
          <w:lang w:val="en-GB"/>
        </w:rPr>
        <w:t>③虹膜形态：表面有无炎性结节、囊肿或肿瘤，是否存在无虹膜、虹膜缺损、瞳孔残存膜等先天性异常。</w:t>
      </w:r>
    </w:p>
    <w:p>
      <w:pPr>
        <w:adjustRightInd w:val="0"/>
        <w:snapToGrid w:val="0"/>
        <w:spacing w:line="500" w:lineRule="exact"/>
        <w:ind w:firstLine="420" w:firstLineChars="200"/>
        <w:rPr>
          <w:lang w:val="en-GB"/>
        </w:rPr>
      </w:pPr>
      <w:r>
        <w:rPr>
          <w:lang w:val="en-GB"/>
        </w:rPr>
        <w:t>④有无虹膜震颤：受检者头部固定，由检查者用一只手拇指及食指分开睑裂，嘱受检者上下、左右迅速转动眼球，然后直视正前方，此时检查者观察虹膜有无震颤。</w:t>
      </w:r>
    </w:p>
    <w:p>
      <w:pPr>
        <w:adjustRightInd w:val="0"/>
        <w:snapToGrid w:val="0"/>
        <w:spacing w:line="500" w:lineRule="exact"/>
        <w:ind w:firstLine="420" w:firstLineChars="200"/>
        <w:rPr>
          <w:lang w:val="en-GB"/>
        </w:rPr>
      </w:pPr>
      <w:r>
        <w:rPr>
          <w:lang w:val="en-GB"/>
        </w:rPr>
        <w:t>10）瞳孔：检查瞳孔可用弥散光或集合光线观察。应注意瞳孔的大小(双侧对比)、位置、形状、边缘是否整齐和对光反射情况(包括直接、间接对光反射以及集合反应)。</w:t>
      </w:r>
    </w:p>
    <w:p>
      <w:pPr>
        <w:adjustRightInd w:val="0"/>
        <w:snapToGrid w:val="0"/>
        <w:spacing w:line="500" w:lineRule="exact"/>
        <w:ind w:firstLine="420" w:firstLineChars="200"/>
        <w:rPr>
          <w:lang w:val="en-GB"/>
        </w:rPr>
      </w:pPr>
      <w:r>
        <w:rPr>
          <w:lang w:val="en-GB"/>
        </w:rPr>
        <w:t>11）晶体：重点检查晶体位置是否正常、有无混浊及异物。可用集合光检查法及透照法(检眼镜检查法)，必要时应用裂隙灯检查。</w:t>
      </w:r>
    </w:p>
    <w:p>
      <w:pPr>
        <w:adjustRightInd w:val="0"/>
        <w:snapToGrid w:val="0"/>
        <w:spacing w:line="500" w:lineRule="exact"/>
        <w:ind w:firstLine="420" w:firstLineChars="200"/>
        <w:rPr>
          <w:lang w:val="en-GB"/>
        </w:rPr>
      </w:pPr>
      <w:r>
        <w:rPr>
          <w:lang w:val="en-GB"/>
        </w:rPr>
        <w:t>12）玻璃体：用直接检眼镜检查，应在暗室内进行。注意有无玻璃体混浊、出血、异物等异常。</w:t>
      </w:r>
    </w:p>
    <w:p>
      <w:pPr>
        <w:adjustRightInd w:val="0"/>
        <w:snapToGrid w:val="0"/>
        <w:spacing w:line="500" w:lineRule="exact"/>
        <w:ind w:firstLine="420" w:firstLineChars="200"/>
        <w:rPr>
          <w:lang w:val="en-GB"/>
        </w:rPr>
      </w:pPr>
      <w:r>
        <w:rPr>
          <w:lang w:val="en-GB"/>
        </w:rPr>
        <w:t>13）眼底：小瞳孔检查是常规检查项目，用直接检眼镜在暗室内进行检查。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adjustRightInd w:val="0"/>
        <w:snapToGrid w:val="0"/>
        <w:spacing w:line="500" w:lineRule="exact"/>
        <w:ind w:firstLine="420" w:firstLineChars="200"/>
        <w:rPr>
          <w:lang w:val="en-GB"/>
        </w:rPr>
      </w:pPr>
      <w:r>
        <w:rPr>
          <w:lang w:val="en-GB"/>
        </w:rPr>
        <w:t>①视神经乳头：检查时应注意其边缘是否规则、清楚，有无色素弧和巩膜环；视乳头色泽是否正常；生理凹陷是否正常，有无青光眼凹陷，有无隆起、水肿、出血、渗出等病变。</w:t>
      </w:r>
    </w:p>
    <w:p>
      <w:pPr>
        <w:adjustRightInd w:val="0"/>
        <w:snapToGrid w:val="0"/>
        <w:spacing w:line="500" w:lineRule="exact"/>
        <w:ind w:firstLine="420" w:firstLineChars="200"/>
        <w:rPr>
          <w:lang w:val="en-GB"/>
        </w:rPr>
      </w:pPr>
      <w:r>
        <w:rPr>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adjustRightInd w:val="0"/>
        <w:snapToGrid w:val="0"/>
        <w:spacing w:line="500" w:lineRule="exact"/>
        <w:ind w:firstLine="420" w:firstLineChars="200"/>
        <w:rPr>
          <w:lang w:val="en-GB"/>
        </w:rPr>
      </w:pPr>
      <w:r>
        <w:rPr>
          <w:lang w:val="en-GB"/>
        </w:rPr>
        <w:t>③视网膜血管：检查时注意其弯曲度有无变化，有无血管鞘，有无直径变化，小动脉的反光是否增强或增宽，血管色泽有否变淡、变暗，有无血管畸形。要注意动静脉比例以及交叉部有无特征性改变。</w:t>
      </w:r>
    </w:p>
    <w:p>
      <w:pPr>
        <w:adjustRightInd w:val="0"/>
        <w:snapToGrid w:val="0"/>
        <w:spacing w:line="500" w:lineRule="exact"/>
        <w:ind w:firstLine="420" w:firstLineChars="200"/>
        <w:rPr>
          <w:lang w:val="en-GB"/>
        </w:rPr>
      </w:pPr>
      <w:r>
        <w:rPr>
          <w:lang w:val="en-GB"/>
        </w:rPr>
        <w:t>④黄斑区：注意中心凹反光，观察黄斑色泽有无变暗、色素变动、色素紊乱、点状和星芒斑、出血斑、樱桃红样改变、囊肿以及裂孔等。</w:t>
      </w:r>
    </w:p>
    <w:p>
      <w:pPr>
        <w:pStyle w:val="4"/>
        <w:adjustRightInd w:val="0"/>
        <w:snapToGrid w:val="0"/>
        <w:spacing w:before="0" w:after="0" w:line="500" w:lineRule="exact"/>
        <w:rPr>
          <w:sz w:val="21"/>
          <w:szCs w:val="21"/>
        </w:rPr>
      </w:pPr>
      <w:bookmarkStart w:id="6" w:name="_Toc391888314"/>
      <w:r>
        <w:rPr>
          <w:rFonts w:hint="eastAsia"/>
          <w:sz w:val="21"/>
          <w:szCs w:val="21"/>
        </w:rPr>
        <w:t xml:space="preserve">    </w:t>
      </w:r>
      <w:r>
        <w:rPr>
          <w:sz w:val="21"/>
          <w:szCs w:val="21"/>
        </w:rPr>
        <w:t>1.5  耳鼻喉科检查</w:t>
      </w:r>
      <w:bookmarkEnd w:id="6"/>
    </w:p>
    <w:p>
      <w:pPr>
        <w:adjustRightInd w:val="0"/>
        <w:snapToGrid w:val="0"/>
        <w:spacing w:line="500" w:lineRule="exact"/>
        <w:ind w:firstLine="420" w:firstLineChars="200"/>
        <w:rPr>
          <w:lang w:val="en-GB"/>
        </w:rPr>
      </w:pPr>
      <w:r>
        <w:t xml:space="preserve">1.5.1  听力  </w:t>
      </w:r>
      <w:r>
        <w:rPr>
          <w:lang w:val="en-GB"/>
        </w:rPr>
        <w:t xml:space="preserve">听力检测使用耳语试验，测听距离5 </w:t>
      </w:r>
      <w:r>
        <w:rPr>
          <w:rFonts w:hint="eastAsia"/>
          <w:lang w:val="en-GB"/>
        </w:rPr>
        <w:t>米</w:t>
      </w:r>
      <w:r>
        <w:rPr>
          <w:lang w:val="en-GB"/>
        </w:rPr>
        <w:t>。</w:t>
      </w:r>
    </w:p>
    <w:p>
      <w:pPr>
        <w:adjustRightInd w:val="0"/>
        <w:snapToGrid w:val="0"/>
        <w:spacing w:line="500" w:lineRule="exact"/>
        <w:ind w:firstLine="420" w:firstLineChars="200"/>
        <w:rPr>
          <w:lang w:val="en-GB"/>
        </w:rPr>
      </w:pPr>
      <w:r>
        <w:rPr>
          <w:lang w:val="en-GB"/>
        </w:rPr>
        <w:t xml:space="preserve">1）检测方法：受检者侧立，身体不可靠墙，一耳对检查者，另一耳由检查者用棉球堵塞。受检者应紧闭双目，以免因看到检查者口形和表情而影响测试的准确性。检查者在距受检者5 </w:t>
      </w:r>
      <w:r>
        <w:rPr>
          <w:rFonts w:hint="eastAsia"/>
          <w:lang w:val="en-GB"/>
        </w:rPr>
        <w:t>米</w:t>
      </w:r>
      <w:r>
        <w:rPr>
          <w:lang w:val="en-GB"/>
        </w:rPr>
        <w:t>处以呼气末的余气，发出轻声耳语音，每词读2遍，由受检者复诵。耳语以两字词汇为宜，每耳检查4～6个词，两耳分别进行。</w:t>
      </w:r>
    </w:p>
    <w:p>
      <w:pPr>
        <w:adjustRightInd w:val="0"/>
        <w:snapToGrid w:val="0"/>
        <w:spacing w:line="500" w:lineRule="exact"/>
        <w:ind w:firstLine="420" w:firstLineChars="200"/>
        <w:rPr>
          <w:lang w:val="en-GB"/>
        </w:rPr>
      </w:pPr>
      <w:r>
        <w:rPr>
          <w:lang w:val="en-GB"/>
        </w:rPr>
        <w:t>参考词汇：</w:t>
      </w:r>
    </w:p>
    <w:p>
      <w:pPr>
        <w:adjustRightInd w:val="0"/>
        <w:snapToGrid w:val="0"/>
        <w:spacing w:line="500" w:lineRule="exact"/>
        <w:ind w:firstLine="420" w:firstLineChars="200"/>
        <w:rPr>
          <w:lang w:val="en-GB"/>
        </w:rPr>
      </w:pPr>
      <w:r>
        <w:rPr>
          <w:lang w:val="en-GB"/>
        </w:rPr>
        <w:t>首都  北京  天津  上海  汉口  兰州  沈阳  西安  青岛  广东  南昌  农场</w:t>
      </w:r>
    </w:p>
    <w:p>
      <w:pPr>
        <w:adjustRightInd w:val="0"/>
        <w:snapToGrid w:val="0"/>
        <w:spacing w:line="500" w:lineRule="exact"/>
        <w:ind w:firstLine="420" w:firstLineChars="200"/>
        <w:rPr>
          <w:lang w:val="en-GB"/>
        </w:rPr>
      </w:pPr>
      <w:r>
        <w:rPr>
          <w:lang w:val="en-GB"/>
        </w:rPr>
        <w:t>学校  商业  工厂  电话  火车  飞机  奋斗  花生  茶叶  面包  报纸  肥皂</w:t>
      </w:r>
    </w:p>
    <w:p>
      <w:pPr>
        <w:adjustRightInd w:val="0"/>
        <w:snapToGrid w:val="0"/>
        <w:spacing w:line="500" w:lineRule="exact"/>
        <w:ind w:firstLine="420" w:firstLineChars="200"/>
        <w:rPr>
          <w:lang w:val="en-GB"/>
        </w:rPr>
      </w:pPr>
      <w:r>
        <w:rPr>
          <w:lang w:val="en-GB"/>
        </w:rPr>
        <w:t>电脑  墙壁  铅笔  祖国  比赛  奖励  玻璃  博士  学生  会议  汽车  糖果</w:t>
      </w:r>
    </w:p>
    <w:p>
      <w:pPr>
        <w:adjustRightInd w:val="0"/>
        <w:snapToGrid w:val="0"/>
        <w:spacing w:line="500" w:lineRule="exact"/>
        <w:ind w:firstLine="420" w:firstLineChars="200"/>
        <w:rPr>
          <w:lang w:val="en-GB"/>
        </w:rPr>
      </w:pPr>
      <w:r>
        <w:rPr>
          <w:lang w:val="en-GB"/>
        </w:rPr>
        <w:t>名片  医生  书本  红色  红旗  金属  讲课  健康  开门  帮助  文件  窗户</w:t>
      </w:r>
    </w:p>
    <w:p>
      <w:pPr>
        <w:adjustRightInd w:val="0"/>
        <w:snapToGrid w:val="0"/>
        <w:spacing w:line="500" w:lineRule="exact"/>
        <w:ind w:firstLine="420" w:firstLineChars="200"/>
        <w:rPr>
          <w:lang w:val="en-GB"/>
        </w:rPr>
      </w:pPr>
      <w:r>
        <w:rPr>
          <w:lang w:val="en-GB"/>
        </w:rPr>
        <w:t>重要  和平  小学  革命  报告  围巾  地点  战争  保证  下雨  教授  广播</w:t>
      </w:r>
    </w:p>
    <w:p>
      <w:pPr>
        <w:adjustRightInd w:val="0"/>
        <w:snapToGrid w:val="0"/>
        <w:spacing w:line="500" w:lineRule="exact"/>
        <w:ind w:firstLine="420" w:firstLineChars="200"/>
        <w:rPr>
          <w:lang w:val="en-GB"/>
        </w:rPr>
      </w:pPr>
      <w:r>
        <w:rPr>
          <w:lang w:val="en-GB"/>
        </w:rPr>
        <w:t>……</w:t>
      </w:r>
    </w:p>
    <w:p>
      <w:pPr>
        <w:adjustRightInd w:val="0"/>
        <w:snapToGrid w:val="0"/>
        <w:spacing w:line="500" w:lineRule="exact"/>
        <w:ind w:firstLine="420" w:firstLineChars="200"/>
        <w:rPr>
          <w:lang w:val="en-GB"/>
        </w:rPr>
      </w:pPr>
      <w:r>
        <w:rPr>
          <w:lang w:val="en-GB"/>
        </w:rPr>
        <w:t xml:space="preserve">2）结果评定：受检者能正确复诵大部分耳语词汇，其听力为5 </w:t>
      </w:r>
      <w:r>
        <w:rPr>
          <w:rFonts w:hint="eastAsia"/>
          <w:lang w:val="en-GB"/>
        </w:rPr>
        <w:t>米</w:t>
      </w:r>
      <w:r>
        <w:rPr>
          <w:lang w:val="en-GB"/>
        </w:rPr>
        <w:t xml:space="preserve">。如果听不到，受检者可向检查者方向移动，直到能听到并正确复诵为止，此时距检查者的距离是多少米，即记为听力是多少米。例如，在间距4 </w:t>
      </w:r>
      <w:r>
        <w:rPr>
          <w:rFonts w:hint="eastAsia"/>
          <w:lang w:val="en-GB"/>
        </w:rPr>
        <w:t>米</w:t>
      </w:r>
      <w:r>
        <w:rPr>
          <w:lang w:val="en-GB"/>
        </w:rPr>
        <w:t xml:space="preserve">处检查，能正确复诵大部分耳语词汇，其听力为4 </w:t>
      </w:r>
      <w:r>
        <w:rPr>
          <w:rFonts w:hint="eastAsia"/>
          <w:lang w:val="en-GB"/>
        </w:rPr>
        <w:t>米</w:t>
      </w:r>
      <w:r>
        <w:rPr>
          <w:lang w:val="en-GB"/>
        </w:rPr>
        <w:t>，以此类推。</w:t>
      </w:r>
    </w:p>
    <w:p>
      <w:pPr>
        <w:adjustRightInd w:val="0"/>
        <w:snapToGrid w:val="0"/>
        <w:spacing w:line="500" w:lineRule="exact"/>
        <w:ind w:firstLine="420" w:firstLineChars="200"/>
      </w:pPr>
      <w:r>
        <w:rPr>
          <w:lang w:val="en-GB"/>
        </w:rPr>
        <w:t>注意：检查前应向受检者说明耳语检查方法，保持室内安静，以受检者熟悉的词语用普通话进行，检查者应发音清晰、音量恒定。</w:t>
      </w:r>
    </w:p>
    <w:p>
      <w:pPr>
        <w:adjustRightInd w:val="0"/>
        <w:snapToGrid w:val="0"/>
        <w:spacing w:line="500" w:lineRule="exact"/>
        <w:ind w:firstLine="420" w:firstLineChars="200"/>
      </w:pPr>
      <w:r>
        <w:t>1.5.2  耳部</w:t>
      </w:r>
      <w:r>
        <w:rPr>
          <w:lang w:val="en-GB"/>
        </w:rPr>
        <w:t xml:space="preserve">  </w:t>
      </w:r>
      <w:r>
        <w:t>主要检查外耳、中耳及鼓膜有无病变。观察外耳有无畸形、肿胀及溃疡等，外耳道有无炎症、脓液、耵聍、肿瘤、后壁塌陷、异物堵塞等，观察鼓膜色泽及有无内陷、穿孔、溢脓等。</w:t>
      </w:r>
    </w:p>
    <w:p>
      <w:pPr>
        <w:adjustRightInd w:val="0"/>
        <w:snapToGrid w:val="0"/>
        <w:spacing w:line="500" w:lineRule="exact"/>
        <w:ind w:firstLine="420" w:firstLineChars="200"/>
      </w:pPr>
      <w:r>
        <w:t>1.5.3  鼻部  重点观察鼻甲有无充血、水肿、肿大、干燥及萎缩，鼻腔内有无溃疡、息肉、肿瘤、脓性分泌物，鼻中隔有无偏曲、穿孔等。</w:t>
      </w:r>
    </w:p>
    <w:p>
      <w:pPr>
        <w:adjustRightInd w:val="0"/>
        <w:snapToGrid w:val="0"/>
        <w:spacing w:line="500" w:lineRule="exact"/>
        <w:ind w:firstLine="420" w:firstLineChars="200"/>
      </w:pPr>
      <w: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adjustRightInd w:val="0"/>
        <w:snapToGrid w:val="0"/>
        <w:spacing w:line="500" w:lineRule="exact"/>
        <w:ind w:firstLine="420" w:firstLineChars="200"/>
      </w:pPr>
      <w:r>
        <w:t>1.5.5  喉部  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pStyle w:val="4"/>
        <w:adjustRightInd w:val="0"/>
        <w:snapToGrid w:val="0"/>
        <w:spacing w:before="0" w:after="0" w:line="500" w:lineRule="exact"/>
        <w:rPr>
          <w:sz w:val="21"/>
          <w:szCs w:val="21"/>
        </w:rPr>
      </w:pPr>
      <w:bookmarkStart w:id="7" w:name="_Toc391888315"/>
      <w:r>
        <w:rPr>
          <w:rFonts w:hint="eastAsia"/>
          <w:sz w:val="21"/>
          <w:szCs w:val="21"/>
        </w:rPr>
        <w:t xml:space="preserve">    </w:t>
      </w:r>
      <w:r>
        <w:rPr>
          <w:sz w:val="21"/>
          <w:szCs w:val="21"/>
        </w:rPr>
        <w:t>1.6  口腔科检查</w:t>
      </w:r>
      <w:bookmarkEnd w:id="7"/>
    </w:p>
    <w:p>
      <w:pPr>
        <w:adjustRightInd w:val="0"/>
        <w:snapToGrid w:val="0"/>
        <w:spacing w:line="500" w:lineRule="exact"/>
        <w:ind w:firstLine="420" w:firstLineChars="200"/>
      </w:pPr>
      <w:r>
        <w:t>1.6.1  唇、腭、舌  观察口唇颜色，重点检查有无疱疹、口角歪斜，伸舌是否居中、有无震颤，黏膜有无溃疡、糜烂、白斑、肿块等。</w:t>
      </w:r>
    </w:p>
    <w:p>
      <w:pPr>
        <w:adjustRightInd w:val="0"/>
        <w:snapToGrid w:val="0"/>
        <w:spacing w:line="500" w:lineRule="exact"/>
        <w:ind w:firstLine="420" w:firstLineChars="200"/>
      </w:pPr>
      <w:r>
        <w:t>1.6.2  口腔黏膜  观察色泽，有无色素沉着，黏膜下有无出血点及血疱、瘀斑，有无溃疡、糜烂、白斑、肿块等。</w:t>
      </w:r>
    </w:p>
    <w:p>
      <w:pPr>
        <w:adjustRightInd w:val="0"/>
        <w:snapToGrid w:val="0"/>
        <w:spacing w:line="500" w:lineRule="exact"/>
        <w:ind w:firstLine="420" w:firstLineChars="200"/>
      </w:pPr>
      <w:r>
        <w:t>1.6.3  颞下颌关节：是常规检查项目。</w:t>
      </w:r>
    </w:p>
    <w:p>
      <w:pPr>
        <w:adjustRightInd w:val="0"/>
        <w:snapToGrid w:val="0"/>
        <w:spacing w:line="500" w:lineRule="exact"/>
        <w:ind w:firstLine="420" w:firstLineChars="200"/>
      </w:pPr>
      <w:r>
        <w:t xml:space="preserve">1）视诊：注意张口度（正常3～5 </w:t>
      </w:r>
      <w:r>
        <w:rPr>
          <w:rFonts w:hint="eastAsia"/>
        </w:rPr>
        <w:t>厘米</w:t>
      </w:r>
      <w:r>
        <w:t>）和开口型（张口时有无下颌偏斜、摆动及铰锁）。</w:t>
      </w:r>
    </w:p>
    <w:p>
      <w:pPr>
        <w:adjustRightInd w:val="0"/>
        <w:snapToGrid w:val="0"/>
        <w:spacing w:line="500" w:lineRule="exact"/>
        <w:ind w:firstLine="420" w:firstLineChars="200"/>
      </w:pPr>
      <w:r>
        <w:t>2）触诊：将双手中指放在受检者两侧耳屏前方，嘱受检者做张闭口运动或做下颌前伸及侧向运动，注意两侧关节是否平衡一致，并检查关节区和关节周围肌群有无压痛、关节有无弹响及杂音。</w:t>
      </w:r>
    </w:p>
    <w:p>
      <w:pPr>
        <w:adjustRightInd w:val="0"/>
        <w:snapToGrid w:val="0"/>
        <w:spacing w:line="500" w:lineRule="exact"/>
        <w:ind w:firstLine="420" w:firstLineChars="200"/>
      </w:pPr>
      <w:r>
        <w:t>1.6.4  腮腺  检查腮腺有无肿大、有无肿物、腮腺导管开口处有无脓性分泌物等。</w:t>
      </w:r>
    </w:p>
    <w:p>
      <w:pPr>
        <w:pStyle w:val="3"/>
        <w:adjustRightInd w:val="0"/>
        <w:snapToGrid w:val="0"/>
        <w:spacing w:before="0" w:after="0" w:line="500" w:lineRule="exact"/>
        <w:rPr>
          <w:rFonts w:ascii="Times New Roman" w:hAnsi="Times New Roman"/>
          <w:sz w:val="21"/>
          <w:szCs w:val="21"/>
        </w:rPr>
      </w:pPr>
      <w:bookmarkStart w:id="8" w:name="_Toc391888316"/>
      <w:r>
        <w:rPr>
          <w:rFonts w:ascii="Times New Roman" w:hAnsi="Times New Roman"/>
          <w:sz w:val="21"/>
          <w:szCs w:val="21"/>
        </w:rPr>
        <w:t>2  妇科检查</w:t>
      </w:r>
      <w:bookmarkEnd w:id="8"/>
    </w:p>
    <w:p>
      <w:pPr>
        <w:adjustRightInd w:val="0"/>
        <w:snapToGrid w:val="0"/>
        <w:spacing w:line="500" w:lineRule="exact"/>
        <w:ind w:firstLine="422" w:firstLineChars="200"/>
        <w:rPr>
          <w:b/>
          <w:bCs/>
        </w:rPr>
      </w:pPr>
      <w:r>
        <w:rPr>
          <w:b/>
          <w:bCs/>
        </w:rPr>
        <w:t>2.1  病史（含月经史）搜集</w:t>
      </w:r>
    </w:p>
    <w:p>
      <w:pPr>
        <w:adjustRightInd w:val="0"/>
        <w:snapToGrid w:val="0"/>
        <w:spacing w:line="500" w:lineRule="exact"/>
        <w:ind w:firstLine="420" w:firstLineChars="200"/>
      </w:pPr>
      <w:r>
        <w:t xml:space="preserve">主要询问月经初潮年龄、周期、出血量、持续时间、末次月经时间，有无痛经，白带性状，有无伴随症状（如外阴瘙痒、下腹疼痛、排尿异常等），有无腹痛等，应重点询问婚育史、既往手术史、肿瘤病史等，有助于发现异常情况。 </w:t>
      </w:r>
    </w:p>
    <w:p>
      <w:pPr>
        <w:adjustRightInd w:val="0"/>
        <w:snapToGrid w:val="0"/>
        <w:spacing w:line="500" w:lineRule="exact"/>
        <w:ind w:firstLine="422" w:firstLineChars="200"/>
      </w:pPr>
      <w:r>
        <w:rPr>
          <w:b/>
          <w:bCs/>
        </w:rPr>
        <w:t>2.2</w:t>
      </w:r>
      <w:r>
        <w:rPr>
          <w:b/>
          <w:bCs/>
          <w:sz w:val="16"/>
          <w:szCs w:val="16"/>
        </w:rPr>
        <w:t xml:space="preserve"> </w:t>
      </w:r>
      <w:r>
        <w:rPr>
          <w:b/>
          <w:bCs/>
          <w:sz w:val="15"/>
          <w:szCs w:val="15"/>
        </w:rPr>
        <w:t xml:space="preserve"> </w:t>
      </w:r>
      <w:r>
        <w:rPr>
          <w:b/>
          <w:bCs/>
        </w:rPr>
        <w:t>检查项目</w:t>
      </w:r>
    </w:p>
    <w:p>
      <w:pPr>
        <w:adjustRightInd w:val="0"/>
        <w:snapToGrid w:val="0"/>
        <w:spacing w:line="500" w:lineRule="exact"/>
        <w:ind w:firstLine="420" w:firstLineChars="200"/>
      </w:pPr>
      <w:r>
        <w:t>已婚者：检查外阴、阴道、宫颈、宫体、附件及阴道分泌物性状、颜色、气味等。</w:t>
      </w:r>
    </w:p>
    <w:p>
      <w:pPr>
        <w:adjustRightInd w:val="0"/>
        <w:snapToGrid w:val="0"/>
        <w:spacing w:line="500" w:lineRule="exact"/>
        <w:ind w:firstLine="420" w:firstLineChars="200"/>
      </w:pPr>
      <w:r>
        <w:t>未婚者：检查外阴发育情况，做肛诊检查，了解宫体、附件及盆腔情况。</w:t>
      </w:r>
    </w:p>
    <w:p>
      <w:pPr>
        <w:adjustRightInd w:val="0"/>
        <w:snapToGrid w:val="0"/>
        <w:spacing w:line="500" w:lineRule="exact"/>
        <w:ind w:firstLine="422" w:firstLineChars="200"/>
        <w:rPr>
          <w:b/>
          <w:bCs/>
        </w:rPr>
      </w:pPr>
      <w:r>
        <w:rPr>
          <w:b/>
          <w:bCs/>
        </w:rPr>
        <w:t>2.3  检查内容</w:t>
      </w:r>
    </w:p>
    <w:p>
      <w:pPr>
        <w:adjustRightInd w:val="0"/>
        <w:snapToGrid w:val="0"/>
        <w:spacing w:line="500" w:lineRule="exact"/>
      </w:pPr>
      <w:r>
        <w:t xml:space="preserve">    重点检查疾病</w:t>
      </w:r>
      <w:r>
        <w:rPr>
          <w:rFonts w:hint="eastAsia"/>
        </w:rPr>
        <w:t>为</w:t>
      </w:r>
      <w:r>
        <w:t>性病（特别是硬下疳）、恶性肿瘤等。妊娠者原则上不做</w:t>
      </w:r>
      <w:r>
        <w:rPr>
          <w:rFonts w:hint="eastAsia"/>
        </w:rPr>
        <w:t>妇科</w:t>
      </w:r>
      <w:r>
        <w:t>检查，但应在体检表中注明原由，待妊娠结束后补做上述检查方可完成体检结论。</w:t>
      </w:r>
    </w:p>
    <w:p>
      <w:pPr>
        <w:adjustRightInd w:val="0"/>
        <w:snapToGrid w:val="0"/>
        <w:spacing w:line="500" w:lineRule="exact"/>
        <w:ind w:firstLine="420" w:firstLineChars="200"/>
      </w:pPr>
      <w:r>
        <w:t>1）外阴：观察发育情况，有无畸形、水肿、炎症、溃疡、肿物、皮肤色泽变化和萎缩等。</w:t>
      </w:r>
    </w:p>
    <w:p>
      <w:pPr>
        <w:adjustRightInd w:val="0"/>
        <w:snapToGrid w:val="0"/>
        <w:spacing w:line="500" w:lineRule="exact"/>
        <w:ind w:firstLine="420" w:firstLineChars="200"/>
      </w:pPr>
      <w:r>
        <w:t>2）阴道和宫颈：置入阴道窥器，观察阴道前后侧壁黏膜颜色，有无瘢痕、肿块、出血；分泌物的量、性质、颜色、有无异味；观察宫颈大小、颜色、外口形状，有无糜烂、撕裂、外翻、囊肿、息肉或肿物等。</w:t>
      </w:r>
    </w:p>
    <w:p>
      <w:pPr>
        <w:adjustRightInd w:val="0"/>
        <w:snapToGrid w:val="0"/>
        <w:spacing w:line="500" w:lineRule="exact"/>
        <w:ind w:firstLine="420" w:firstLineChars="200"/>
      </w:pPr>
      <w:r>
        <w:t>3）盆腔：应做双合诊、三合诊检查，未婚者做肛诊检查。</w:t>
      </w:r>
    </w:p>
    <w:p>
      <w:pPr>
        <w:adjustRightInd w:val="0"/>
        <w:snapToGrid w:val="0"/>
        <w:spacing w:line="500" w:lineRule="exact"/>
        <w:ind w:firstLine="420" w:firstLineChars="200"/>
      </w:pPr>
      <w:r>
        <w:t>①双合诊：用左或右手戴橡皮手套，食、中两指涂润滑剂，轻轻沿阴道后壁进入，检查阴道畅通度和深度，有无先天性畸形、瘢痕、肿块以及有无出血；再观察子宫颈大小、形状、硬度及颈口情况，如向上或向两侧拨动宫颈出现疼痛时称为宫颈举痛和摇摆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adjustRightInd w:val="0"/>
        <w:snapToGrid w:val="0"/>
        <w:spacing w:line="500" w:lineRule="exact"/>
        <w:ind w:firstLine="420" w:firstLineChars="200"/>
      </w:pPr>
      <w:r>
        <w:t>②三合诊：腹部、阴道、直肠联合检查称为三合诊。除一手的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adjustRightInd w:val="0"/>
        <w:snapToGrid w:val="0"/>
        <w:spacing w:line="500" w:lineRule="exact"/>
        <w:ind w:firstLine="420" w:firstLineChars="200"/>
      </w:pPr>
      <w:r>
        <w:t>③肛诊：将一手食指伸入直肠，另一手在腹部配合，做类似三合诊方法的检查，又称为肛腹诊。</w:t>
      </w:r>
    </w:p>
    <w:p>
      <w:pPr>
        <w:pStyle w:val="3"/>
        <w:adjustRightInd w:val="0"/>
        <w:snapToGrid w:val="0"/>
        <w:spacing w:before="0" w:after="0" w:line="500" w:lineRule="exact"/>
        <w:rPr>
          <w:rFonts w:ascii="Times New Roman" w:hAnsi="Times New Roman"/>
          <w:sz w:val="21"/>
          <w:szCs w:val="21"/>
        </w:rPr>
      </w:pPr>
      <w:bookmarkStart w:id="9" w:name="_Toc391888317"/>
      <w:r>
        <w:rPr>
          <w:rFonts w:ascii="Times New Roman" w:hAnsi="Times New Roman"/>
          <w:sz w:val="21"/>
          <w:szCs w:val="21"/>
        </w:rPr>
        <w:t>3  心电图检查</w:t>
      </w:r>
      <w:bookmarkEnd w:id="9"/>
    </w:p>
    <w:p>
      <w:pPr>
        <w:adjustRightInd w:val="0"/>
        <w:snapToGrid w:val="0"/>
        <w:spacing w:line="500" w:lineRule="exact"/>
        <w:rPr>
          <w:rFonts w:hint="eastAsia" w:ascii="宋体" w:hAnsi="宋体" w:cs="宋体"/>
          <w:b/>
          <w:szCs w:val="30"/>
        </w:rPr>
      </w:pPr>
      <w:r>
        <w:rPr>
          <w:rFonts w:hint="eastAsia" w:eastAsia="黑体"/>
          <w:b/>
          <w:szCs w:val="30"/>
        </w:rPr>
        <w:t xml:space="preserve">    </w:t>
      </w:r>
      <w:r>
        <w:rPr>
          <w:rFonts w:hint="eastAsia" w:ascii="宋体" w:hAnsi="宋体" w:cs="宋体"/>
          <w:b/>
          <w:szCs w:val="30"/>
        </w:rPr>
        <w:t>3.1  环境要求</w:t>
      </w:r>
    </w:p>
    <w:p>
      <w:pPr>
        <w:adjustRightInd w:val="0"/>
        <w:snapToGrid w:val="0"/>
        <w:spacing w:line="500" w:lineRule="exact"/>
        <w:ind w:firstLine="420" w:firstLineChars="200"/>
        <w:rPr>
          <w:szCs w:val="30"/>
        </w:rPr>
      </w:pPr>
      <w:r>
        <w:rPr>
          <w:szCs w:val="30"/>
        </w:rPr>
        <w:t>1）室内要求保持温暖（不低于18 ℃），以避免因寒冷而引起的肌电干扰。</w:t>
      </w:r>
    </w:p>
    <w:p>
      <w:pPr>
        <w:adjustRightInd w:val="0"/>
        <w:snapToGrid w:val="0"/>
        <w:spacing w:line="500" w:lineRule="exact"/>
        <w:ind w:firstLine="420" w:firstLineChars="200"/>
        <w:rPr>
          <w:szCs w:val="30"/>
        </w:rPr>
      </w:pPr>
      <w:r>
        <w:rPr>
          <w:szCs w:val="30"/>
        </w:rPr>
        <w:t>2）使用交流电源的心电图机必须接可靠的专用地线（接地电阻应低于0.5 Ω）。</w:t>
      </w:r>
    </w:p>
    <w:p>
      <w:pPr>
        <w:adjustRightInd w:val="0"/>
        <w:snapToGrid w:val="0"/>
        <w:spacing w:line="500" w:lineRule="exact"/>
        <w:ind w:firstLine="420" w:firstLineChars="200"/>
        <w:rPr>
          <w:szCs w:val="30"/>
        </w:rPr>
      </w:pPr>
      <w:r>
        <w:rPr>
          <w:szCs w:val="30"/>
        </w:rPr>
        <w:t>3）心电图机的电源线尽可能远离诊床和导联电缆，床旁不要摆放其他电器具（不论通电否）及穿行的电源线。</w:t>
      </w:r>
    </w:p>
    <w:p>
      <w:pPr>
        <w:adjustRightInd w:val="0"/>
        <w:snapToGrid w:val="0"/>
        <w:spacing w:line="500" w:lineRule="exact"/>
        <w:ind w:firstLine="420" w:firstLineChars="200"/>
        <w:rPr>
          <w:szCs w:val="30"/>
        </w:rPr>
      </w:pPr>
      <w:r>
        <w:rPr>
          <w:szCs w:val="30"/>
        </w:rPr>
        <w:t xml:space="preserve">4）诊床的宽度一般不应窄于75 </w:t>
      </w:r>
      <w:r>
        <w:rPr>
          <w:rFonts w:hint="eastAsia"/>
          <w:szCs w:val="30"/>
        </w:rPr>
        <w:t>厘米</w:t>
      </w:r>
      <w:r>
        <w:rPr>
          <w:szCs w:val="30"/>
        </w:rPr>
        <w:t>，以免肢体紧张而引起肌电干扰。如果诊床的一侧靠墙，则必须确定墙内无电线穿过。</w:t>
      </w:r>
    </w:p>
    <w:p>
      <w:pPr>
        <w:adjustRightInd w:val="0"/>
        <w:snapToGrid w:val="0"/>
        <w:spacing w:line="500" w:lineRule="exact"/>
        <w:jc w:val="left"/>
        <w:rPr>
          <w:rFonts w:hint="eastAsia" w:ascii="宋体" w:hAnsi="宋体" w:cs="宋体"/>
          <w:b/>
          <w:szCs w:val="30"/>
        </w:rPr>
      </w:pPr>
      <w:r>
        <w:rPr>
          <w:rFonts w:hint="eastAsia" w:eastAsia="黑体"/>
          <w:b/>
          <w:szCs w:val="30"/>
        </w:rPr>
        <w:t xml:space="preserve">   </w:t>
      </w:r>
      <w:r>
        <w:rPr>
          <w:rFonts w:hint="eastAsia" w:ascii="宋体" w:hAnsi="宋体" w:cs="宋体"/>
          <w:b/>
          <w:szCs w:val="30"/>
        </w:rPr>
        <w:t xml:space="preserve"> 3.2  准备工作</w:t>
      </w:r>
    </w:p>
    <w:p>
      <w:pPr>
        <w:adjustRightInd w:val="0"/>
        <w:snapToGrid w:val="0"/>
        <w:spacing w:line="500" w:lineRule="exact"/>
        <w:ind w:firstLine="420" w:firstLineChars="200"/>
        <w:rPr>
          <w:szCs w:val="30"/>
        </w:rPr>
      </w:pPr>
      <w:r>
        <w:rPr>
          <w:szCs w:val="30"/>
        </w:rPr>
        <w:t>1）对初次接受心电图检查者，必须事先作好解释工作，消除紧张心理。</w:t>
      </w:r>
    </w:p>
    <w:p>
      <w:pPr>
        <w:adjustRightInd w:val="0"/>
        <w:snapToGrid w:val="0"/>
        <w:spacing w:line="500" w:lineRule="exact"/>
        <w:ind w:firstLine="420" w:firstLineChars="200"/>
        <w:rPr>
          <w:szCs w:val="30"/>
        </w:rPr>
      </w:pPr>
      <w:r>
        <w:rPr>
          <w:szCs w:val="30"/>
        </w:rPr>
        <w:t>2）作心电图之前受检者应充分休息，解开上衣；在描记心电图时要放松肢体，保持平静呼吸。</w:t>
      </w:r>
    </w:p>
    <w:p>
      <w:pPr>
        <w:adjustRightInd w:val="0"/>
        <w:snapToGrid w:val="0"/>
        <w:spacing w:line="500" w:lineRule="exact"/>
        <w:jc w:val="left"/>
        <w:rPr>
          <w:rFonts w:hint="eastAsia" w:ascii="宋体" w:hAnsi="宋体" w:cs="宋体"/>
          <w:b/>
          <w:szCs w:val="30"/>
        </w:rPr>
      </w:pPr>
      <w:r>
        <w:rPr>
          <w:rFonts w:hint="eastAsia" w:eastAsia="黑体"/>
          <w:b/>
          <w:szCs w:val="30"/>
        </w:rPr>
        <w:t xml:space="preserve">   </w:t>
      </w:r>
      <w:r>
        <w:rPr>
          <w:rFonts w:hint="eastAsia" w:ascii="宋体" w:hAnsi="宋体" w:cs="宋体"/>
          <w:b/>
          <w:szCs w:val="30"/>
        </w:rPr>
        <w:t xml:space="preserve"> 3.3  皮肤处理和电极安置</w:t>
      </w:r>
    </w:p>
    <w:p>
      <w:pPr>
        <w:adjustRightInd w:val="0"/>
        <w:snapToGrid w:val="0"/>
        <w:spacing w:line="500" w:lineRule="exact"/>
        <w:ind w:firstLine="420" w:firstLineChars="200"/>
        <w:rPr>
          <w:szCs w:val="30"/>
        </w:rPr>
      </w:pPr>
      <w:r>
        <w:rPr>
          <w:szCs w:val="30"/>
        </w:rPr>
        <w:t>1）如果放置电极部位的皮肤有污垢或毛发过多，应该预先清洁皮肤或剃毛。</w:t>
      </w:r>
    </w:p>
    <w:p>
      <w:pPr>
        <w:adjustRightInd w:val="0"/>
        <w:snapToGrid w:val="0"/>
        <w:spacing w:line="500" w:lineRule="exact"/>
        <w:ind w:firstLine="420" w:firstLineChars="200"/>
        <w:rPr>
          <w:szCs w:val="30"/>
        </w:rPr>
      </w:pPr>
      <w:r>
        <w:rPr>
          <w:szCs w:val="30"/>
        </w:rPr>
        <w:t>2）用导电膏（剂型分为糊剂、霜剂和溶液等）涂擦放置电极处的皮肤，而不应该只把导电膏涂在电极上。</w:t>
      </w:r>
    </w:p>
    <w:p>
      <w:pPr>
        <w:adjustRightInd w:val="0"/>
        <w:snapToGrid w:val="0"/>
        <w:spacing w:line="500" w:lineRule="exact"/>
        <w:ind w:firstLine="420" w:firstLineChars="200"/>
        <w:rPr>
          <w:szCs w:val="30"/>
        </w:rPr>
      </w:pPr>
      <w:r>
        <w:rPr>
          <w:szCs w:val="30"/>
        </w:rPr>
        <w:t>3）严格按照国际统一标准，准确安放常规12导联心电图电极。必要时，应加做其他胸壁导联。女性乳房下垂者应托起乳房，将V</w:t>
      </w:r>
      <w:r>
        <w:rPr>
          <w:szCs w:val="30"/>
          <w:vertAlign w:val="subscript"/>
        </w:rPr>
        <w:t>3</w:t>
      </w:r>
      <w:r>
        <w:rPr>
          <w:szCs w:val="30"/>
        </w:rPr>
        <w:t>、V</w:t>
      </w:r>
      <w:r>
        <w:rPr>
          <w:szCs w:val="30"/>
          <w:vertAlign w:val="subscript"/>
        </w:rPr>
        <w:t>4</w:t>
      </w:r>
      <w:r>
        <w:rPr>
          <w:szCs w:val="30"/>
        </w:rPr>
        <w:t>、V</w:t>
      </w:r>
      <w:r>
        <w:rPr>
          <w:szCs w:val="30"/>
          <w:vertAlign w:val="subscript"/>
        </w:rPr>
        <w:t>5</w:t>
      </w:r>
      <w:r>
        <w:rPr>
          <w:szCs w:val="30"/>
        </w:rPr>
        <w:t>电极安放在乳房下缘胸壁上，而不应该安置在乳房上。</w:t>
      </w:r>
    </w:p>
    <w:p>
      <w:pPr>
        <w:adjustRightInd w:val="0"/>
        <w:snapToGrid w:val="0"/>
        <w:spacing w:line="500" w:lineRule="exact"/>
        <w:ind w:firstLine="422" w:firstLineChars="200"/>
        <w:rPr>
          <w:rFonts w:hint="eastAsia" w:ascii="宋体" w:hAnsi="宋体" w:cs="宋体"/>
          <w:b/>
          <w:szCs w:val="30"/>
        </w:rPr>
      </w:pPr>
      <w:r>
        <w:rPr>
          <w:rFonts w:hint="eastAsia" w:ascii="宋体" w:hAnsi="宋体" w:cs="宋体"/>
          <w:b/>
          <w:szCs w:val="30"/>
        </w:rPr>
        <w:t>3.4  描记心电图</w:t>
      </w:r>
    </w:p>
    <w:p>
      <w:pPr>
        <w:adjustRightInd w:val="0"/>
        <w:snapToGrid w:val="0"/>
        <w:spacing w:line="500" w:lineRule="exact"/>
        <w:ind w:firstLine="420" w:firstLineChars="200"/>
        <w:rPr>
          <w:szCs w:val="30"/>
        </w:rPr>
      </w:pPr>
      <w:r>
        <w:rPr>
          <w:szCs w:val="30"/>
        </w:rPr>
        <w:t xml:space="preserve">1）心电图机的性能必须符合国家标准（GB10793-2000心电图机和使用安全要求）。若使用热笔式记录纸，其热敏感性和储存性应符合标准。单通道记录纸的可记录范围不窄于40 </w:t>
      </w:r>
      <w:r>
        <w:rPr>
          <w:rFonts w:hint="eastAsia"/>
          <w:szCs w:val="30"/>
        </w:rPr>
        <w:t>mm</w:t>
      </w:r>
      <w:r>
        <w:rPr>
          <w:szCs w:val="30"/>
        </w:rPr>
        <w:t>。</w:t>
      </w:r>
    </w:p>
    <w:p>
      <w:pPr>
        <w:adjustRightInd w:val="0"/>
        <w:snapToGrid w:val="0"/>
        <w:spacing w:line="500" w:lineRule="exact"/>
        <w:ind w:firstLine="420" w:firstLineChars="200"/>
        <w:rPr>
          <w:szCs w:val="30"/>
        </w:rPr>
      </w:pPr>
      <w:r>
        <w:rPr>
          <w:szCs w:val="30"/>
        </w:rPr>
        <w:t>2）在记录纸上注明日期、姓名，并标明导联。</w:t>
      </w:r>
    </w:p>
    <w:p>
      <w:pPr>
        <w:adjustRightInd w:val="0"/>
        <w:snapToGrid w:val="0"/>
        <w:spacing w:line="500" w:lineRule="exact"/>
        <w:ind w:firstLine="420" w:firstLineChars="200"/>
        <w:rPr>
          <w:szCs w:val="30"/>
        </w:rPr>
      </w:pPr>
      <w:r>
        <w:rPr>
          <w:szCs w:val="30"/>
        </w:rPr>
        <w:t>3）按照心电图机使用说明进行操作，常规心电图应包括肢体导联Ⅰ、Ⅱ、Ⅲ、aVR、aVL、aVF和胸前导联V</w:t>
      </w:r>
      <w:r>
        <w:rPr>
          <w:szCs w:val="30"/>
          <w:vertAlign w:val="subscript"/>
        </w:rPr>
        <w:t>1</w:t>
      </w:r>
      <w:r>
        <w:rPr>
          <w:szCs w:val="30"/>
        </w:rPr>
        <w:t>～V</w:t>
      </w:r>
      <w:r>
        <w:rPr>
          <w:szCs w:val="30"/>
          <w:vertAlign w:val="subscript"/>
        </w:rPr>
        <w:t>6</w:t>
      </w:r>
      <w:r>
        <w:rPr>
          <w:szCs w:val="30"/>
        </w:rPr>
        <w:t>，共12个导联。</w:t>
      </w:r>
    </w:p>
    <w:p>
      <w:pPr>
        <w:adjustRightInd w:val="0"/>
        <w:snapToGrid w:val="0"/>
        <w:spacing w:line="500" w:lineRule="exact"/>
        <w:ind w:firstLine="420" w:firstLineChars="200"/>
        <w:rPr>
          <w:szCs w:val="30"/>
        </w:rPr>
      </w:pPr>
      <w:r>
        <w:rPr>
          <w:szCs w:val="30"/>
        </w:rPr>
        <w:t>4）不论使用哪一种机型的心电图机，为了减少心电图波形失真，应该尽量不使用交流电滤波或“肌滤波”。</w:t>
      </w:r>
    </w:p>
    <w:p>
      <w:pPr>
        <w:adjustRightInd w:val="0"/>
        <w:snapToGrid w:val="0"/>
        <w:spacing w:line="500" w:lineRule="exact"/>
        <w:ind w:firstLine="420" w:firstLineChars="200"/>
        <w:rPr>
          <w:szCs w:val="30"/>
        </w:rPr>
      </w:pPr>
      <w:r>
        <w:rPr>
          <w:szCs w:val="30"/>
        </w:rPr>
        <w:t>5）用手动方式记录心电图时，要先打标准电压，每次切换导联后，必须等到基线稳定后再启动记录纸，每个导联记录的长度不应少于2</w:t>
      </w:r>
      <w:r>
        <w:t>～</w:t>
      </w:r>
      <w:r>
        <w:rPr>
          <w:szCs w:val="30"/>
        </w:rPr>
        <w:t>4个完整的心动周期。</w:t>
      </w:r>
    </w:p>
    <w:p>
      <w:pPr>
        <w:adjustRightInd w:val="0"/>
        <w:snapToGrid w:val="0"/>
        <w:spacing w:line="500" w:lineRule="exact"/>
        <w:ind w:firstLine="420" w:firstLineChars="200"/>
        <w:rPr>
          <w:szCs w:val="30"/>
        </w:rPr>
      </w:pPr>
      <w:r>
        <w:rPr>
          <w:szCs w:val="30"/>
        </w:rPr>
        <w:t>6）遇到下列情况时应及时作出处理：</w:t>
      </w:r>
    </w:p>
    <w:p>
      <w:pPr>
        <w:pStyle w:val="5"/>
        <w:adjustRightInd w:val="0"/>
        <w:snapToGrid w:val="0"/>
        <w:spacing w:line="500" w:lineRule="exact"/>
        <w:ind w:firstLine="420" w:firstLineChars="200"/>
      </w:pPr>
      <w:r>
        <w:t>⑴</w:t>
      </w:r>
      <w:r>
        <w:rPr>
          <w:szCs w:val="30"/>
        </w:rPr>
        <w:t>如个别胸前导联出现无</w:t>
      </w:r>
      <w:r>
        <w:t>法解释的异常T波或U波时，应检查相应的电极是否松动脱落。若该电极固定良好而部位恰好在心尖搏动最强处，可重新处理该处皮肤或更换质量较好的电极；若仍无效，可将电极位置</w:t>
      </w:r>
      <w:r>
        <w:rPr>
          <w:szCs w:val="30"/>
        </w:rPr>
        <w:t>稍移动，</w:t>
      </w:r>
      <w:r>
        <w:t>若波形恢复正常，则可认为这种异常的T波或U波是由于心脏冲撞胸壁使电极的极化电位发生变化而引起的伪差。</w:t>
      </w:r>
    </w:p>
    <w:p>
      <w:pPr>
        <w:adjustRightInd w:val="0"/>
        <w:snapToGrid w:val="0"/>
        <w:spacing w:line="500" w:lineRule="exact"/>
        <w:ind w:firstLine="420" w:firstLineChars="200"/>
        <w:rPr>
          <w:szCs w:val="30"/>
        </w:rPr>
      </w:pPr>
      <w:r>
        <w:rPr>
          <w:szCs w:val="30"/>
        </w:rPr>
        <w:t>⑵如果Ⅲ和/或aVF导联Q波较深，应在受检者深吸气后屏住气时立即重复描记该导联心电图。若此时Q波明显变浅或消失，则可考虑为横膈抬高所致；若Q波仍较深而宽，则不能除外下壁心肌梗死。</w:t>
      </w:r>
    </w:p>
    <w:p>
      <w:pPr>
        <w:adjustRightInd w:val="0"/>
        <w:snapToGrid w:val="0"/>
        <w:spacing w:line="500" w:lineRule="exact"/>
        <w:ind w:firstLine="420" w:firstLineChars="200"/>
        <w:rPr>
          <w:rFonts w:hint="eastAsia"/>
          <w:szCs w:val="30"/>
        </w:rPr>
      </w:pPr>
      <w:r>
        <w:rPr>
          <w:szCs w:val="30"/>
        </w:rPr>
        <w:t>⑶如果发现受检者心率＞60次/</w:t>
      </w:r>
      <w:r>
        <w:rPr>
          <w:rFonts w:hint="eastAsia"/>
          <w:szCs w:val="30"/>
        </w:rPr>
        <w:t>m</w:t>
      </w:r>
      <w:r>
        <w:rPr>
          <w:szCs w:val="30"/>
        </w:rPr>
        <w:t>in，而PR间期＞</w:t>
      </w:r>
      <w:r>
        <w:rPr>
          <w:bCs/>
          <w:szCs w:val="30"/>
        </w:rPr>
        <w:t>0.20</w:t>
      </w:r>
      <w:r>
        <w:rPr>
          <w:szCs w:val="30"/>
        </w:rPr>
        <w:t>秒，应让其取坐位再记录几个肢体导联心电图，以便确定是否有房室阻滞</w:t>
      </w:r>
      <w:r>
        <w:rPr>
          <w:rFonts w:hint="eastAsia"/>
          <w:szCs w:val="30"/>
        </w:rPr>
        <w:t>。</w:t>
      </w:r>
    </w:p>
    <w:p>
      <w:pPr>
        <w:adjustRightInd w:val="0"/>
        <w:snapToGrid w:val="0"/>
        <w:spacing w:line="500" w:lineRule="exact"/>
        <w:ind w:firstLine="422" w:firstLineChars="200"/>
        <w:rPr>
          <w:rFonts w:hint="eastAsia" w:ascii="宋体" w:hAnsi="宋体" w:cs="宋体"/>
          <w:b/>
          <w:szCs w:val="30"/>
        </w:rPr>
      </w:pPr>
      <w:r>
        <w:rPr>
          <w:rFonts w:hint="eastAsia" w:ascii="宋体" w:hAnsi="宋体" w:cs="宋体"/>
          <w:b/>
          <w:szCs w:val="30"/>
        </w:rPr>
        <w:t>3.5  心电图判断标准</w:t>
      </w:r>
    </w:p>
    <w:p>
      <w:pPr>
        <w:adjustRightInd w:val="0"/>
        <w:snapToGrid w:val="0"/>
        <w:spacing w:line="500" w:lineRule="exact"/>
        <w:ind w:firstLine="310" w:firstLineChars="147"/>
        <w:rPr>
          <w:b/>
          <w:bCs/>
        </w:rPr>
      </w:pPr>
      <w:r>
        <w:rPr>
          <w:b/>
          <w:bCs/>
        </w:rPr>
        <w:t>【</w:t>
      </w:r>
      <w:r>
        <w:rPr>
          <w:bCs/>
        </w:rPr>
        <w:t>正常心电图</w:t>
      </w:r>
      <w:r>
        <w:rPr>
          <w:b/>
          <w:bCs/>
        </w:rPr>
        <w:t>】</w:t>
      </w:r>
    </w:p>
    <w:p>
      <w:pPr>
        <w:adjustRightInd w:val="0"/>
        <w:snapToGrid w:val="0"/>
        <w:spacing w:line="500" w:lineRule="exact"/>
        <w:ind w:firstLine="413" w:firstLineChars="196"/>
      </w:pPr>
      <w:r>
        <w:rPr>
          <w:b/>
          <w:bCs/>
        </w:rPr>
        <w:t>P波：</w:t>
      </w:r>
      <w:r>
        <w:t>顺序出现，频率60～100次/</w:t>
      </w:r>
      <w:r>
        <w:rPr>
          <w:rFonts w:hint="eastAsia"/>
        </w:rPr>
        <w:t>m</w:t>
      </w:r>
      <w:r>
        <w:t>in，在Ⅰ、Ⅱ、V</w:t>
      </w:r>
      <w:r>
        <w:rPr>
          <w:vertAlign w:val="subscript"/>
        </w:rPr>
        <w:t>4</w:t>
      </w:r>
      <w:r>
        <w:t>、V</w:t>
      </w:r>
      <w:r>
        <w:rPr>
          <w:vertAlign w:val="subscript"/>
        </w:rPr>
        <w:t>5</w:t>
      </w:r>
      <w:r>
        <w:t>、V</w:t>
      </w:r>
      <w:r>
        <w:rPr>
          <w:vertAlign w:val="subscript"/>
        </w:rPr>
        <w:t>6</w:t>
      </w:r>
      <w:r>
        <w:t>导联中直立，aVR倒置；P波宽度不大于0.11</w:t>
      </w:r>
      <w:r>
        <w:rPr>
          <w:szCs w:val="30"/>
        </w:rPr>
        <w:t>秒</w:t>
      </w:r>
      <w:r>
        <w:t xml:space="preserve">，振幅在肢导不大于0.25 </w:t>
      </w:r>
      <w:r>
        <w:rPr>
          <w:rFonts w:hint="eastAsia"/>
        </w:rPr>
        <w:t>米</w:t>
      </w:r>
      <w:r>
        <w:t xml:space="preserve">V，胸导不超过0.2 </w:t>
      </w:r>
      <w:r>
        <w:rPr>
          <w:rFonts w:hint="eastAsia"/>
        </w:rPr>
        <w:t>米</w:t>
      </w:r>
      <w:r>
        <w:t>V。</w:t>
      </w:r>
    </w:p>
    <w:p>
      <w:pPr>
        <w:adjustRightInd w:val="0"/>
        <w:snapToGrid w:val="0"/>
        <w:spacing w:line="500" w:lineRule="exact"/>
        <w:ind w:firstLine="422" w:firstLineChars="200"/>
      </w:pPr>
      <w:r>
        <w:rPr>
          <w:b/>
          <w:bCs/>
        </w:rPr>
        <w:t>P-R间期：</w:t>
      </w:r>
      <w:r>
        <w:t>成年人为0.12～0.20</w:t>
      </w:r>
      <w:r>
        <w:rPr>
          <w:szCs w:val="30"/>
        </w:rPr>
        <w:t>秒</w:t>
      </w:r>
      <w:r>
        <w:t>。</w:t>
      </w:r>
    </w:p>
    <w:p>
      <w:pPr>
        <w:adjustRightInd w:val="0"/>
        <w:snapToGrid w:val="0"/>
        <w:spacing w:line="500" w:lineRule="exact"/>
        <w:ind w:firstLine="422" w:firstLineChars="200"/>
        <w:rPr>
          <w:b/>
        </w:rPr>
      </w:pPr>
      <w:r>
        <w:rPr>
          <w:b/>
          <w:bCs/>
        </w:rPr>
        <w:t>QRS波群</w:t>
      </w:r>
      <w:r>
        <w:rPr>
          <w:b/>
          <w:bCs/>
          <w:lang w:val="en-GB"/>
        </w:rPr>
        <w:t>：</w:t>
      </w:r>
    </w:p>
    <w:p>
      <w:pPr>
        <w:adjustRightInd w:val="0"/>
        <w:snapToGrid w:val="0"/>
        <w:spacing w:line="500" w:lineRule="exact"/>
        <w:ind w:firstLine="420" w:firstLineChars="200"/>
      </w:pPr>
      <w:r>
        <w:t>时间：0.06～0.10</w:t>
      </w:r>
      <w:r>
        <w:rPr>
          <w:szCs w:val="30"/>
        </w:rPr>
        <w:t>秒</w:t>
      </w:r>
      <w:r>
        <w:t>，最宽不超过0.11</w:t>
      </w:r>
      <w:r>
        <w:rPr>
          <w:szCs w:val="30"/>
        </w:rPr>
        <w:t>秒</w:t>
      </w:r>
      <w:r>
        <w:t>。</w:t>
      </w:r>
    </w:p>
    <w:p>
      <w:pPr>
        <w:adjustRightInd w:val="0"/>
        <w:snapToGrid w:val="0"/>
        <w:spacing w:line="500" w:lineRule="exact"/>
        <w:ind w:firstLine="420" w:firstLineChars="200"/>
      </w:pPr>
      <w:r>
        <w:t>波形和振幅：在V</w:t>
      </w:r>
      <w:r>
        <w:rPr>
          <w:vertAlign w:val="subscript"/>
        </w:rPr>
        <w:t>1</w:t>
      </w:r>
      <w:r>
        <w:t>、V</w:t>
      </w:r>
      <w:r>
        <w:rPr>
          <w:vertAlign w:val="subscript"/>
        </w:rPr>
        <w:t>2</w:t>
      </w:r>
      <w:r>
        <w:t>导联多呈rS型，V</w:t>
      </w:r>
      <w:r>
        <w:rPr>
          <w:vertAlign w:val="subscript"/>
        </w:rPr>
        <w:t>5</w:t>
      </w:r>
      <w:r>
        <w:t>、V</w:t>
      </w:r>
      <w:r>
        <w:rPr>
          <w:vertAlign w:val="subscript"/>
        </w:rPr>
        <w:t>6</w:t>
      </w:r>
      <w:r>
        <w:t>导联可呈qR、qRs、Rs或R型。V</w:t>
      </w:r>
      <w:r>
        <w:rPr>
          <w:vertAlign w:val="subscript"/>
        </w:rPr>
        <w:t>1</w:t>
      </w:r>
      <w:r>
        <w:t>导联的R/S小于1，V</w:t>
      </w:r>
      <w:r>
        <w:rPr>
          <w:vertAlign w:val="subscript"/>
        </w:rPr>
        <w:t>5</w:t>
      </w:r>
      <w:r>
        <w:t>导联的R/S大于1。R</w:t>
      </w:r>
      <w:r>
        <w:rPr>
          <w:szCs w:val="15"/>
          <w:vertAlign w:val="subscript"/>
        </w:rPr>
        <w:t>V1</w:t>
      </w:r>
      <w:r>
        <w:t xml:space="preserve">＜1.0 </w:t>
      </w:r>
      <w:r>
        <w:rPr>
          <w:rFonts w:hint="eastAsia"/>
        </w:rPr>
        <w:t>m</w:t>
      </w:r>
      <w:r>
        <w:t>V，R</w:t>
      </w:r>
      <w:r>
        <w:rPr>
          <w:szCs w:val="15"/>
          <w:vertAlign w:val="subscript"/>
        </w:rPr>
        <w:t>V1</w:t>
      </w:r>
      <w:r>
        <w:t>+S</w:t>
      </w:r>
      <w:r>
        <w:rPr>
          <w:szCs w:val="15"/>
          <w:vertAlign w:val="subscript"/>
        </w:rPr>
        <w:t>V5</w:t>
      </w:r>
      <w:r>
        <w:t xml:space="preserve">＜1.2 </w:t>
      </w:r>
      <w:r>
        <w:rPr>
          <w:rFonts w:hint="eastAsia"/>
        </w:rPr>
        <w:t>m</w:t>
      </w:r>
      <w:r>
        <w:t>V，R</w:t>
      </w:r>
      <w:r>
        <w:rPr>
          <w:szCs w:val="15"/>
          <w:vertAlign w:val="subscript"/>
        </w:rPr>
        <w:t>V5</w:t>
      </w:r>
      <w:r>
        <w:t>+S</w:t>
      </w:r>
      <w:r>
        <w:rPr>
          <w:szCs w:val="15"/>
          <w:vertAlign w:val="subscript"/>
        </w:rPr>
        <w:t>V1</w:t>
      </w:r>
      <w:r>
        <w:t xml:space="preserve">＜4.0 </w:t>
      </w:r>
      <w:r>
        <w:rPr>
          <w:rFonts w:hint="eastAsia"/>
        </w:rPr>
        <w:t>m</w:t>
      </w:r>
      <w:r>
        <w:t xml:space="preserve">V（女性＜3.5 </w:t>
      </w:r>
      <w:r>
        <w:rPr>
          <w:rFonts w:hint="eastAsia"/>
        </w:rPr>
        <w:t>m</w:t>
      </w:r>
      <w:r>
        <w:t>V)。</w:t>
      </w:r>
    </w:p>
    <w:p>
      <w:pPr>
        <w:adjustRightInd w:val="0"/>
        <w:snapToGrid w:val="0"/>
        <w:spacing w:line="500" w:lineRule="exact"/>
        <w:ind w:firstLine="420" w:firstLineChars="200"/>
      </w:pPr>
      <w:r>
        <w:t>室壁激动时间（VAT）：在V</w:t>
      </w:r>
      <w:r>
        <w:rPr>
          <w:szCs w:val="15"/>
          <w:vertAlign w:val="subscript"/>
        </w:rPr>
        <w:t>1</w:t>
      </w:r>
      <w:r>
        <w:t>导联＜0.03</w:t>
      </w:r>
      <w:r>
        <w:rPr>
          <w:szCs w:val="30"/>
        </w:rPr>
        <w:t>秒</w:t>
      </w:r>
      <w:r>
        <w:t>，V</w:t>
      </w:r>
      <w:r>
        <w:rPr>
          <w:szCs w:val="15"/>
          <w:vertAlign w:val="subscript"/>
        </w:rPr>
        <w:t>5</w:t>
      </w:r>
      <w:r>
        <w:t>导联＜0.05</w:t>
      </w:r>
      <w:r>
        <w:rPr>
          <w:szCs w:val="30"/>
        </w:rPr>
        <w:t>秒</w:t>
      </w:r>
      <w:r>
        <w:t>（女性＜0.045</w:t>
      </w:r>
      <w:r>
        <w:rPr>
          <w:szCs w:val="30"/>
        </w:rPr>
        <w:t>秒</w:t>
      </w:r>
      <w:r>
        <w:t>)。</w:t>
      </w:r>
    </w:p>
    <w:p>
      <w:pPr>
        <w:adjustRightInd w:val="0"/>
        <w:snapToGrid w:val="0"/>
        <w:spacing w:line="500" w:lineRule="exact"/>
        <w:ind w:firstLine="422" w:firstLineChars="200"/>
      </w:pPr>
      <w:r>
        <w:rPr>
          <w:b/>
          <w:bCs/>
        </w:rPr>
        <w:t xml:space="preserve">Q波: </w:t>
      </w:r>
      <w:r>
        <w:t>Q波振幅应小于同导联R波的1/4，时距应≤0.03秒，V</w:t>
      </w:r>
      <w:r>
        <w:rPr>
          <w:vertAlign w:val="subscript"/>
        </w:rPr>
        <w:t>1</w:t>
      </w:r>
      <w:r>
        <w:t>导联不应有q波，但可呈QS型。</w:t>
      </w:r>
    </w:p>
    <w:p>
      <w:pPr>
        <w:adjustRightInd w:val="0"/>
        <w:snapToGrid w:val="0"/>
        <w:spacing w:line="500" w:lineRule="exact"/>
        <w:ind w:firstLine="420" w:firstLineChars="199"/>
      </w:pPr>
      <w:r>
        <w:rPr>
          <w:b/>
          <w:bCs/>
        </w:rPr>
        <w:t>ST段：</w:t>
      </w:r>
      <w:r>
        <w:t>多为一等电位线，有时可有轻微的偏移，肢体导联 ST段抬高一般不超过0.1</w:t>
      </w:r>
      <w:r>
        <w:rPr>
          <w:rFonts w:hint="eastAsia"/>
        </w:rPr>
        <w:t>m</w:t>
      </w:r>
      <w:r>
        <w:t>V，压低不超过0.05</w:t>
      </w:r>
      <w:r>
        <w:rPr>
          <w:rFonts w:hint="eastAsia"/>
        </w:rPr>
        <w:t>m</w:t>
      </w:r>
      <w:r>
        <w:t>V。V</w:t>
      </w:r>
      <w:r>
        <w:rPr>
          <w:vertAlign w:val="subscript"/>
        </w:rPr>
        <w:t>2</w:t>
      </w:r>
      <w:r>
        <w:t>和V</w:t>
      </w:r>
      <w:r>
        <w:rPr>
          <w:vertAlign w:val="subscript"/>
        </w:rPr>
        <w:t>3</w:t>
      </w:r>
      <w:r>
        <w:t>导联ST段可抬高达0.3</w:t>
      </w:r>
      <w:r>
        <w:rPr>
          <w:rFonts w:hint="eastAsia"/>
        </w:rPr>
        <w:t>m</w:t>
      </w:r>
      <w:r>
        <w:t>V，V</w:t>
      </w:r>
      <w:r>
        <w:rPr>
          <w:vertAlign w:val="subscript"/>
        </w:rPr>
        <w:t>5</w:t>
      </w:r>
      <w:r>
        <w:t>、V</w:t>
      </w:r>
      <w:r>
        <w:rPr>
          <w:vertAlign w:val="subscript"/>
        </w:rPr>
        <w:t>6</w:t>
      </w:r>
      <w:r>
        <w:t>导联ST上移正常上限小于0.1</w:t>
      </w:r>
      <w:r>
        <w:rPr>
          <w:rFonts w:hint="eastAsia"/>
        </w:rPr>
        <w:t>m</w:t>
      </w:r>
      <w:r>
        <w:t>V。V</w:t>
      </w:r>
      <w:r>
        <w:rPr>
          <w:vertAlign w:val="subscript"/>
        </w:rPr>
        <w:t>4</w:t>
      </w:r>
      <w:r>
        <w:t>～V</w:t>
      </w:r>
      <w:r>
        <w:rPr>
          <w:vertAlign w:val="subscript"/>
        </w:rPr>
        <w:t>6</w:t>
      </w:r>
      <w:r>
        <w:t xml:space="preserve">导联不超过0.1 </w:t>
      </w:r>
      <w:r>
        <w:rPr>
          <w:rFonts w:hint="eastAsia"/>
        </w:rPr>
        <w:t>m</w:t>
      </w:r>
      <w:r>
        <w:t>V。</w:t>
      </w:r>
    </w:p>
    <w:p>
      <w:pPr>
        <w:adjustRightInd w:val="0"/>
        <w:snapToGrid w:val="0"/>
        <w:spacing w:line="500" w:lineRule="exact"/>
        <w:ind w:left="842" w:leftChars="200" w:hanging="422" w:hangingChars="200"/>
      </w:pPr>
      <w:r>
        <w:rPr>
          <w:b/>
          <w:bCs/>
        </w:rPr>
        <w:t>T波：</w:t>
      </w:r>
      <w:r>
        <w:t>T波的方向大多与QRS主波的方向一致，在Ⅰ、Ⅱ、V</w:t>
      </w:r>
      <w:r>
        <w:rPr>
          <w:vertAlign w:val="subscript"/>
        </w:rPr>
        <w:t>4</w:t>
      </w:r>
      <w:r>
        <w:t>～V</w:t>
      </w:r>
      <w:r>
        <w:rPr>
          <w:vertAlign w:val="subscript"/>
        </w:rPr>
        <w:t>6</w:t>
      </w:r>
      <w:r>
        <w:t>导联向上，aVR导</w:t>
      </w:r>
    </w:p>
    <w:p>
      <w:pPr>
        <w:adjustRightInd w:val="0"/>
        <w:snapToGrid w:val="0"/>
        <w:spacing w:line="500" w:lineRule="exact"/>
      </w:pPr>
      <w:r>
        <w:t>联向下，Ⅲ、aVL、aVF、V</w:t>
      </w:r>
      <w:r>
        <w:rPr>
          <w:vertAlign w:val="subscript"/>
        </w:rPr>
        <w:t>1</w:t>
      </w:r>
      <w:r>
        <w:t>～V</w:t>
      </w:r>
      <w:r>
        <w:rPr>
          <w:vertAlign w:val="subscript"/>
        </w:rPr>
        <w:t>3</w:t>
      </w:r>
      <w:r>
        <w:t>导联可以向上、双向或向下，但若V</w:t>
      </w:r>
      <w:r>
        <w:rPr>
          <w:vertAlign w:val="subscript"/>
        </w:rPr>
        <w:t>1</w:t>
      </w:r>
      <w:r>
        <w:t>的T波向上，V</w:t>
      </w:r>
      <w:r>
        <w:rPr>
          <w:vertAlign w:val="subscript"/>
        </w:rPr>
        <w:t>2</w:t>
      </w:r>
      <w:r>
        <w:t>～V</w:t>
      </w:r>
      <w:r>
        <w:rPr>
          <w:vertAlign w:val="subscript"/>
        </w:rPr>
        <w:t>6</w:t>
      </w:r>
      <w:r>
        <w:t>导联的T波就不应再向下。除Ⅲ、aVL、aVF、V</w:t>
      </w:r>
      <w:r>
        <w:rPr>
          <w:szCs w:val="15"/>
          <w:vertAlign w:val="subscript"/>
        </w:rPr>
        <w:t>1</w:t>
      </w:r>
      <w:r>
        <w:t>～V</w:t>
      </w:r>
      <w:r>
        <w:rPr>
          <w:szCs w:val="15"/>
          <w:vertAlign w:val="subscript"/>
        </w:rPr>
        <w:t>3</w:t>
      </w:r>
      <w:r>
        <w:t xml:space="preserve">导联外，T波的振幅不应低于同导联R波的1/10。T波高度在胸导联有时可高达1.5 </w:t>
      </w:r>
      <w:r>
        <w:rPr>
          <w:rFonts w:hint="eastAsia"/>
        </w:rPr>
        <w:t>m</w:t>
      </w:r>
      <w:r>
        <w:t>V。</w:t>
      </w:r>
    </w:p>
    <w:p>
      <w:pPr>
        <w:adjustRightInd w:val="0"/>
        <w:snapToGrid w:val="0"/>
        <w:spacing w:line="500" w:lineRule="exact"/>
        <w:ind w:firstLine="413" w:firstLineChars="196"/>
      </w:pPr>
      <w:r>
        <w:rPr>
          <w:b/>
        </w:rPr>
        <w:t>Q-T</w:t>
      </w:r>
      <w:r>
        <w:rPr>
          <w:b/>
          <w:bCs/>
        </w:rPr>
        <w:t>c间期：</w:t>
      </w:r>
      <w:r>
        <w:rPr>
          <w:bCs/>
        </w:rPr>
        <w:t>在正常窦性心律（心率60-100次/分）时正常值</w:t>
      </w:r>
      <w:r>
        <w:t>0.32～0.44</w:t>
      </w:r>
      <w:r>
        <w:rPr>
          <w:szCs w:val="30"/>
        </w:rPr>
        <w:t>秒</w:t>
      </w:r>
      <w:r>
        <w:t>。</w:t>
      </w:r>
      <w:r>
        <w:rPr>
          <w:bCs/>
        </w:rPr>
        <w:t>为校正心率对Q-T间期的影响，多采用</w:t>
      </w:r>
      <w:r>
        <w:t>Q-T</w:t>
      </w:r>
      <w:r>
        <w:rPr>
          <w:bCs/>
        </w:rPr>
        <w:t>c进行校正。常用的校正公式：</w:t>
      </w:r>
      <w:r>
        <w:t>Q-T</w:t>
      </w:r>
      <w:r>
        <w:rPr>
          <w:bCs/>
        </w:rPr>
        <w:t>c = Q-T/R-R的平方根。</w:t>
      </w:r>
      <w:r>
        <w:t>Q-T</w:t>
      </w:r>
      <w:r>
        <w:rPr>
          <w:bCs/>
        </w:rPr>
        <w:t>c正常上限值</w:t>
      </w:r>
      <w:r>
        <w:t>0.44</w:t>
      </w:r>
      <w:r>
        <w:rPr>
          <w:szCs w:val="30"/>
        </w:rPr>
        <w:t>秒</w:t>
      </w:r>
      <w:r>
        <w:t>，超过0.44</w:t>
      </w:r>
      <w:r>
        <w:rPr>
          <w:szCs w:val="30"/>
        </w:rPr>
        <w:t>秒为延长。</w:t>
      </w:r>
    </w:p>
    <w:p>
      <w:pPr>
        <w:adjustRightInd w:val="0"/>
        <w:snapToGrid w:val="0"/>
        <w:spacing w:line="500" w:lineRule="exact"/>
        <w:ind w:firstLine="413" w:firstLineChars="196"/>
        <w:rPr>
          <w:szCs w:val="30"/>
        </w:rPr>
      </w:pPr>
      <w:r>
        <w:rPr>
          <w:b/>
          <w:bCs/>
        </w:rPr>
        <w:t>U波：</w:t>
      </w:r>
      <w:r>
        <w:t xml:space="preserve">振幅范围0.05～0.20 </w:t>
      </w:r>
      <w:r>
        <w:rPr>
          <w:rFonts w:hint="eastAsia"/>
        </w:rPr>
        <w:t>米</w:t>
      </w:r>
      <w:r>
        <w:t>V，多相当于同导联T波的1/10，不应高于T波的1/2；时间0.16～0.25</w:t>
      </w:r>
      <w:r>
        <w:rPr>
          <w:szCs w:val="30"/>
        </w:rPr>
        <w:t>秒</w:t>
      </w:r>
      <w:r>
        <w:t>，平均0.20</w:t>
      </w:r>
      <w:r>
        <w:rPr>
          <w:szCs w:val="30"/>
        </w:rPr>
        <w:t>秒</w:t>
      </w:r>
      <w:r>
        <w:t>；U波方向与同导联T波一致。</w:t>
      </w:r>
    </w:p>
    <w:p>
      <w:pPr>
        <w:pStyle w:val="3"/>
        <w:adjustRightInd w:val="0"/>
        <w:snapToGrid w:val="0"/>
        <w:spacing w:before="0" w:after="0" w:line="500" w:lineRule="exact"/>
        <w:rPr>
          <w:rFonts w:ascii="Times New Roman" w:hAnsi="Times New Roman"/>
          <w:sz w:val="21"/>
          <w:szCs w:val="21"/>
        </w:rPr>
      </w:pPr>
      <w:bookmarkStart w:id="10" w:name="_Toc391888318"/>
      <w:r>
        <w:rPr>
          <w:rFonts w:ascii="Times New Roman" w:hAnsi="Times New Roman"/>
          <w:sz w:val="21"/>
          <w:szCs w:val="21"/>
        </w:rPr>
        <w:t>4  腹部B超检查</w:t>
      </w:r>
      <w:bookmarkEnd w:id="10"/>
      <w:r>
        <w:rPr>
          <w:rFonts w:ascii="Times New Roman" w:hAnsi="Times New Roman"/>
          <w:sz w:val="21"/>
          <w:szCs w:val="21"/>
        </w:rPr>
        <w:t xml:space="preserve"> </w:t>
      </w:r>
    </w:p>
    <w:p>
      <w:pPr>
        <w:adjustRightInd w:val="0"/>
        <w:snapToGrid w:val="0"/>
        <w:spacing w:line="500" w:lineRule="exact"/>
        <w:ind w:firstLine="420" w:firstLineChars="200"/>
        <w:rPr>
          <w:szCs w:val="30"/>
        </w:rPr>
      </w:pPr>
      <w:r>
        <w:rPr>
          <w:bCs/>
        </w:rPr>
        <w:t>检查的脏器为肝、胆、胰、脾和双肾。</w:t>
      </w:r>
      <w:r>
        <w:rPr>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adjustRightInd w:val="0"/>
        <w:snapToGrid w:val="0"/>
        <w:spacing w:line="500" w:lineRule="exact"/>
        <w:rPr>
          <w:rFonts w:eastAsia="黑体"/>
          <w:b/>
          <w:bCs/>
        </w:rPr>
      </w:pPr>
      <w:r>
        <w:rPr>
          <w:rFonts w:hint="eastAsia" w:eastAsia="黑体"/>
          <w:b/>
          <w:bCs/>
        </w:rPr>
        <w:t xml:space="preserve">    </w:t>
      </w:r>
      <w:r>
        <w:rPr>
          <w:rFonts w:hint="eastAsia" w:ascii="宋体" w:hAnsi="宋体" w:cs="宋体"/>
          <w:b/>
          <w:bCs/>
        </w:rPr>
        <w:t>4.1  肝脏</w:t>
      </w:r>
    </w:p>
    <w:p>
      <w:pPr>
        <w:adjustRightInd w:val="0"/>
        <w:snapToGrid w:val="0"/>
        <w:spacing w:line="500" w:lineRule="exact"/>
        <w:ind w:firstLine="420" w:firstLineChars="200"/>
        <w:rPr>
          <w:szCs w:val="30"/>
        </w:rPr>
      </w:pPr>
      <w: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szCs w:val="30"/>
        </w:rPr>
        <w:t>1)肝脏大小、形态是否正常，包膜回声、形态、连续性是否正常。</w:t>
      </w:r>
      <w:r>
        <w:t>观察肝边缘、膈顶部及左外叶边角部分。</w:t>
      </w:r>
      <w:r>
        <w:rPr>
          <w:szCs w:val="30"/>
        </w:rPr>
        <w:t>2)肝实质回声的强度，实质回声是否均匀，是否有局限性异常回声，异常回声区的特点（如数目、位置、范围、形态、边界、内部回声情况、</w:t>
      </w:r>
      <w:r>
        <w:t>声晕、后方回声、病灶内外血流情况</w:t>
      </w:r>
      <w:r>
        <w:rPr>
          <w:szCs w:val="30"/>
        </w:rPr>
        <w:t>）及其与周围组织器官的关系等。3）肝内管道结构（胆管、门脉系统、肝静脉和肝动脉）的形态和走行，管壁回声情况，管腔有无狭窄或扩张。</w:t>
      </w:r>
      <w:r>
        <w:t>门脉主干及主要分支、胆管内有无栓子形成。</w:t>
      </w:r>
      <w:r>
        <w:rPr>
          <w:szCs w:val="30"/>
        </w:rPr>
        <w:t>4）与肝脏相关的器官如脾脏、胆囊、膈肌、肝门及腹腔内淋巴结情况。</w:t>
      </w:r>
    </w:p>
    <w:p>
      <w:pPr>
        <w:adjustRightInd w:val="0"/>
        <w:snapToGrid w:val="0"/>
        <w:spacing w:line="500" w:lineRule="exact"/>
        <w:ind w:firstLine="420" w:firstLineChars="200"/>
      </w:pPr>
      <w:r>
        <w:t>【测量参考值】</w:t>
      </w:r>
    </w:p>
    <w:p>
      <w:pPr>
        <w:adjustRightInd w:val="0"/>
        <w:snapToGrid w:val="0"/>
        <w:spacing w:line="500" w:lineRule="exact"/>
        <w:ind w:firstLine="420" w:firstLineChars="200"/>
      </w:pPr>
      <w:r>
        <w:t xml:space="preserve">肝左叶前后径（厚度）≤6 </w:t>
      </w:r>
      <w:r>
        <w:rPr>
          <w:rFonts w:hint="eastAsia"/>
        </w:rPr>
        <w:t>厘米</w:t>
      </w:r>
      <w:r>
        <w:t xml:space="preserve">，长度≤9 </w:t>
      </w:r>
      <w:r>
        <w:rPr>
          <w:rFonts w:hint="eastAsia"/>
        </w:rPr>
        <w:t>厘米</w:t>
      </w:r>
      <w:r>
        <w:t xml:space="preserve">；肝右叶最大斜径≤14 </w:t>
      </w:r>
      <w:r>
        <w:rPr>
          <w:rFonts w:hint="eastAsia"/>
        </w:rPr>
        <w:t>厘米</w:t>
      </w:r>
      <w:r>
        <w:t>，前后径</w:t>
      </w:r>
      <w:r>
        <w:rPr>
          <w:rFonts w:eastAsia="黑体"/>
          <w:b/>
        </w:rPr>
        <w:t>≤</w:t>
      </w:r>
      <w:r>
        <w:t xml:space="preserve">11 </w:t>
      </w:r>
      <w:r>
        <w:rPr>
          <w:rFonts w:hint="eastAsia"/>
        </w:rPr>
        <w:t>厘米</w:t>
      </w:r>
      <w:r>
        <w:t xml:space="preserve">；门静脉主干内径≤1.2 </w:t>
      </w:r>
      <w:r>
        <w:rPr>
          <w:rFonts w:hint="eastAsia"/>
        </w:rPr>
        <w:t>厘米</w:t>
      </w:r>
      <w:r>
        <w:t>。</w:t>
      </w:r>
    </w:p>
    <w:p>
      <w:pPr>
        <w:adjustRightInd w:val="0"/>
        <w:snapToGrid w:val="0"/>
        <w:spacing w:line="500" w:lineRule="exact"/>
        <w:ind w:firstLine="420" w:firstLineChars="200"/>
      </w:pPr>
      <w:r>
        <w:t xml:space="preserve">4.1.2  </w:t>
      </w:r>
      <w:r>
        <w:rPr>
          <w:szCs w:val="30"/>
        </w:rPr>
        <w:t>B超检查</w:t>
      </w:r>
      <w:r>
        <w:t>提示疾病</w:t>
      </w:r>
    </w:p>
    <w:p>
      <w:pPr>
        <w:adjustRightInd w:val="0"/>
        <w:snapToGrid w:val="0"/>
        <w:spacing w:line="500" w:lineRule="exact"/>
        <w:ind w:firstLine="420"/>
      </w:pPr>
      <w:r>
        <w:t>1）肝脏弥漫性病变：如病毒性肝炎、药物中毒性肝炎、酒精性肝炎、肝硬化、肝淤血、脂肪肝以及其他原因所致肝实质病变等。</w:t>
      </w:r>
    </w:p>
    <w:p>
      <w:pPr>
        <w:adjustRightInd w:val="0"/>
        <w:snapToGrid w:val="0"/>
        <w:spacing w:line="500" w:lineRule="exact"/>
        <w:ind w:firstLine="420"/>
      </w:pPr>
      <w:r>
        <w:t>2）肝脏囊性占位性病变：单纯性囊肿、多囊肝、包虫病、囊腺瘤等。</w:t>
      </w:r>
    </w:p>
    <w:p>
      <w:pPr>
        <w:adjustRightInd w:val="0"/>
        <w:snapToGrid w:val="0"/>
        <w:spacing w:line="500" w:lineRule="exact"/>
        <w:ind w:firstLine="420"/>
      </w:pPr>
      <w:r>
        <w:t>3）肝脏实性占位性病变：良性肿瘤（如肝血管瘤）、瘤样病变、恶性肿瘤（原发性肝癌、肝转移癌）等。</w:t>
      </w:r>
    </w:p>
    <w:p>
      <w:pPr>
        <w:adjustRightInd w:val="0"/>
        <w:snapToGrid w:val="0"/>
        <w:spacing w:line="500" w:lineRule="exact"/>
        <w:ind w:firstLine="420"/>
      </w:pPr>
      <w:r>
        <w:t>4）肝血管疾病：门静脉高压症、门静脉栓塞、肝动脉瘤、布加综合征等。</w:t>
      </w:r>
    </w:p>
    <w:p>
      <w:pPr>
        <w:adjustRightInd w:val="0"/>
        <w:snapToGrid w:val="0"/>
        <w:spacing w:line="500" w:lineRule="exact"/>
        <w:ind w:firstLine="420"/>
      </w:pPr>
      <w:r>
        <w:t>5）肝及肝周脓肿：各种肝脓肿、膈下脓肿等。</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4.2  胆囊与胆道</w:t>
      </w:r>
    </w:p>
    <w:p>
      <w:pPr>
        <w:adjustRightInd w:val="0"/>
        <w:snapToGrid w:val="0"/>
        <w:spacing w:line="500" w:lineRule="exact"/>
        <w:ind w:firstLine="420" w:firstLineChars="200"/>
      </w:pPr>
      <w:r>
        <w:t>4.2.1  检查内容及超声测量参考值  主要观察：1）胆囊大小，包括长径、前后径。2）胆囊壁光滑程度、有无增厚，均匀性还是局限性增厚，增厚的部位、范围及内壁上有无隆起样病变。3）胆囊囊腔是否回声清亮，是否有结石、胆泥等形成的异常回声。4）肝内外胆管管径及走行，包括胆管有无扩张，管壁有无增厚，扩张的程度、部位、累及范围及扩张下段胆道内有无结石、肿瘤等梗阻性病变，或周围有无肿大淋巴结等外压性病变。</w:t>
      </w:r>
    </w:p>
    <w:p>
      <w:pPr>
        <w:adjustRightInd w:val="0"/>
        <w:snapToGrid w:val="0"/>
        <w:spacing w:line="500" w:lineRule="exact"/>
        <w:ind w:firstLine="420" w:firstLineChars="200"/>
      </w:pPr>
      <w:r>
        <w:t>【测量参考值】</w:t>
      </w:r>
    </w:p>
    <w:p>
      <w:pPr>
        <w:adjustRightInd w:val="0"/>
        <w:snapToGrid w:val="0"/>
        <w:spacing w:line="500" w:lineRule="exact"/>
        <w:ind w:firstLine="315" w:firstLineChars="150"/>
      </w:pPr>
      <w:r>
        <w:t>胆囊长径</w:t>
      </w:r>
      <w:r>
        <w:rPr>
          <w:rFonts w:eastAsia="黑体"/>
          <w:b/>
        </w:rPr>
        <w:t>≤</w:t>
      </w:r>
      <w:r>
        <w:t>7</w:t>
      </w:r>
      <w:r>
        <w:rPr>
          <w:rFonts w:hint="eastAsia"/>
        </w:rPr>
        <w:t>厘米</w:t>
      </w:r>
      <w:r>
        <w:t>，前后径</w:t>
      </w:r>
      <w:r>
        <w:rPr>
          <w:rFonts w:eastAsia="黑体"/>
          <w:b/>
        </w:rPr>
        <w:t>≤</w:t>
      </w:r>
      <w:r>
        <w:t>4</w:t>
      </w:r>
      <w:r>
        <w:rPr>
          <w:rFonts w:hint="eastAsia"/>
        </w:rPr>
        <w:t>厘米</w:t>
      </w:r>
      <w:r>
        <w:t>；胆囊壁厚度＜3</w:t>
      </w:r>
      <w:r>
        <w:rPr>
          <w:rFonts w:hint="eastAsia"/>
        </w:rPr>
        <w:t>毫米</w:t>
      </w:r>
      <w:r>
        <w:t>；肝外胆管上段直径2～5</w:t>
      </w:r>
      <w:r>
        <w:rPr>
          <w:rFonts w:hint="eastAsia"/>
        </w:rPr>
        <w:t>毫米</w:t>
      </w:r>
      <w:r>
        <w:t>（小于伴行门脉直径的1/3），下段直径</w:t>
      </w:r>
      <w:r>
        <w:rPr>
          <w:rFonts w:eastAsia="黑体"/>
          <w:b/>
        </w:rPr>
        <w:t>≤</w:t>
      </w:r>
      <w:r>
        <w:t xml:space="preserve">8 </w:t>
      </w:r>
      <w:r>
        <w:rPr>
          <w:rFonts w:hint="eastAsia"/>
        </w:rPr>
        <w:t>毫米</w:t>
      </w:r>
      <w:r>
        <w:t>；肝内左右肝管直径</w:t>
      </w:r>
      <w:r>
        <w:rPr>
          <w:rFonts w:eastAsia="黑体"/>
          <w:b/>
        </w:rPr>
        <w:t>≤</w:t>
      </w:r>
      <w:r>
        <w:t>2</w:t>
      </w:r>
      <w:r>
        <w:rPr>
          <w:rFonts w:hint="eastAsia"/>
        </w:rPr>
        <w:t>毫米</w:t>
      </w:r>
      <w:r>
        <w:t>。</w:t>
      </w:r>
    </w:p>
    <w:p>
      <w:pPr>
        <w:adjustRightInd w:val="0"/>
        <w:snapToGrid w:val="0"/>
        <w:spacing w:line="500" w:lineRule="exact"/>
        <w:ind w:firstLine="420" w:firstLineChars="200"/>
      </w:pPr>
      <w:r>
        <w:t xml:space="preserve">4.2.2  </w:t>
      </w:r>
      <w:r>
        <w:rPr>
          <w:szCs w:val="30"/>
        </w:rPr>
        <w:t>B超检查</w:t>
      </w:r>
      <w:r>
        <w:t>提示疾病</w:t>
      </w:r>
    </w:p>
    <w:p>
      <w:pPr>
        <w:adjustRightInd w:val="0"/>
        <w:snapToGrid w:val="0"/>
        <w:spacing w:line="500" w:lineRule="exact"/>
        <w:ind w:firstLine="420"/>
      </w:pPr>
      <w:r>
        <w:t>1）胆石症：胆囊结石如泥沙样结石、充满型结石、附壁结石，肝内外胆管结石等。</w:t>
      </w:r>
    </w:p>
    <w:p>
      <w:pPr>
        <w:adjustRightInd w:val="0"/>
        <w:snapToGrid w:val="0"/>
        <w:spacing w:line="500" w:lineRule="exact"/>
        <w:ind w:firstLine="420"/>
      </w:pPr>
      <w:r>
        <w:t>2）胆囊良性隆起样病变：腺瘤、息肉样病变、胆囊腺肌症。</w:t>
      </w:r>
    </w:p>
    <w:p>
      <w:pPr>
        <w:adjustRightInd w:val="0"/>
        <w:snapToGrid w:val="0"/>
        <w:spacing w:line="500" w:lineRule="exact"/>
        <w:ind w:firstLine="420"/>
      </w:pPr>
      <w:r>
        <w:t>3）胆道恶性肿瘤：胆囊癌、胆管癌。</w:t>
      </w:r>
    </w:p>
    <w:p>
      <w:pPr>
        <w:adjustRightInd w:val="0"/>
        <w:snapToGrid w:val="0"/>
        <w:spacing w:line="500" w:lineRule="exact"/>
        <w:ind w:firstLine="420"/>
      </w:pPr>
      <w:r>
        <w:t>4）胆囊炎：急性、慢性胆囊炎。</w:t>
      </w:r>
    </w:p>
    <w:p>
      <w:pPr>
        <w:adjustRightInd w:val="0"/>
        <w:snapToGrid w:val="0"/>
        <w:spacing w:line="500" w:lineRule="exact"/>
        <w:ind w:firstLine="420"/>
      </w:pPr>
      <w:r>
        <w:t>5）肝内外胆管扩张：先天性胆总管囊状扩张、肝内胆管囊状扩张症等；胆管内结石、肿瘤及胆管外压性包块造成的扩张。</w:t>
      </w:r>
    </w:p>
    <w:p>
      <w:pPr>
        <w:adjustRightInd w:val="0"/>
        <w:snapToGrid w:val="0"/>
        <w:spacing w:line="500" w:lineRule="exact"/>
        <w:ind w:firstLine="420"/>
        <w:rPr>
          <w:rFonts w:hint="eastAsia" w:ascii="宋体" w:hAnsi="宋体" w:cs="宋体"/>
          <w:b/>
          <w:bCs/>
        </w:rPr>
      </w:pPr>
      <w:r>
        <w:rPr>
          <w:rFonts w:hint="eastAsia" w:ascii="宋体" w:hAnsi="宋体" w:cs="宋体"/>
          <w:b/>
          <w:bCs/>
        </w:rPr>
        <w:t>4.3  胰腺</w:t>
      </w:r>
    </w:p>
    <w:p>
      <w:pPr>
        <w:adjustRightInd w:val="0"/>
        <w:snapToGrid w:val="0"/>
        <w:spacing w:line="500" w:lineRule="exact"/>
        <w:ind w:firstLine="420" w:firstLineChars="200"/>
      </w:pPr>
      <w: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adjustRightInd w:val="0"/>
        <w:snapToGrid w:val="0"/>
        <w:spacing w:line="500" w:lineRule="exact"/>
        <w:ind w:firstLine="420" w:firstLineChars="200"/>
      </w:pPr>
      <w:r>
        <w:t>【测量参考值】</w:t>
      </w:r>
    </w:p>
    <w:p>
      <w:pPr>
        <w:adjustRightInd w:val="0"/>
        <w:snapToGrid w:val="0"/>
        <w:spacing w:line="500" w:lineRule="exact"/>
      </w:pPr>
      <w:r>
        <w:t xml:space="preserve">    胰头前后径（厚径）1.0～2.5</w:t>
      </w:r>
      <w:r>
        <w:rPr>
          <w:rFonts w:hint="eastAsia"/>
        </w:rPr>
        <w:t>厘米</w:t>
      </w:r>
      <w:r>
        <w:t xml:space="preserve">，胰体、尾前后径（厚径）1.0～1.5 </w:t>
      </w:r>
      <w:r>
        <w:rPr>
          <w:rFonts w:hint="eastAsia"/>
        </w:rPr>
        <w:t>厘米</w:t>
      </w:r>
      <w:r>
        <w:t xml:space="preserve">，胰管直径≤0.2 </w:t>
      </w:r>
      <w:r>
        <w:rPr>
          <w:rFonts w:hint="eastAsia"/>
        </w:rPr>
        <w:t>厘米</w:t>
      </w:r>
      <w:r>
        <w:t>。</w:t>
      </w:r>
    </w:p>
    <w:p>
      <w:pPr>
        <w:adjustRightInd w:val="0"/>
        <w:snapToGrid w:val="0"/>
        <w:spacing w:line="500" w:lineRule="exact"/>
        <w:ind w:firstLine="420" w:firstLineChars="200"/>
      </w:pPr>
      <w:r>
        <w:t>【胰腺异常判定标准】</w:t>
      </w:r>
    </w:p>
    <w:p>
      <w:pPr>
        <w:adjustRightInd w:val="0"/>
        <w:snapToGrid w:val="0"/>
        <w:spacing w:line="500" w:lineRule="exact"/>
        <w:ind w:firstLine="420" w:firstLineChars="200"/>
      </w:pPr>
      <w:r>
        <w:t xml:space="preserve">胰腺肿大：胰头前后径≥3.0 </w:t>
      </w:r>
      <w:r>
        <w:rPr>
          <w:rFonts w:hint="eastAsia"/>
        </w:rPr>
        <w:t>厘米</w:t>
      </w:r>
      <w:r>
        <w:t xml:space="preserve">，胰体、尾前后径＞2.0 </w:t>
      </w:r>
      <w:r>
        <w:rPr>
          <w:rFonts w:hint="eastAsia"/>
        </w:rPr>
        <w:t>厘米</w:t>
      </w:r>
      <w:r>
        <w:t>。</w:t>
      </w:r>
    </w:p>
    <w:p>
      <w:pPr>
        <w:adjustRightInd w:val="0"/>
        <w:snapToGrid w:val="0"/>
        <w:spacing w:line="500" w:lineRule="exact"/>
        <w:ind w:firstLine="420" w:firstLineChars="200"/>
      </w:pPr>
      <w:r>
        <w:t xml:space="preserve">胰腺萎缩：胰头前后径&lt;1.0 </w:t>
      </w:r>
      <w:r>
        <w:rPr>
          <w:rFonts w:hint="eastAsia"/>
        </w:rPr>
        <w:t>厘米</w:t>
      </w:r>
      <w:r>
        <w:t>。</w:t>
      </w:r>
    </w:p>
    <w:p>
      <w:pPr>
        <w:adjustRightInd w:val="0"/>
        <w:snapToGrid w:val="0"/>
        <w:spacing w:line="500" w:lineRule="exact"/>
        <w:ind w:firstLine="420" w:firstLineChars="200"/>
      </w:pPr>
      <w:r>
        <w:t xml:space="preserve">胰管扩张：胰管直径≥0.3 </w:t>
      </w:r>
      <w:r>
        <w:rPr>
          <w:rFonts w:hint="eastAsia"/>
        </w:rPr>
        <w:t>厘米</w:t>
      </w:r>
      <w:r>
        <w:t>。</w:t>
      </w:r>
    </w:p>
    <w:p>
      <w:pPr>
        <w:adjustRightInd w:val="0"/>
        <w:snapToGrid w:val="0"/>
        <w:spacing w:line="500" w:lineRule="exact"/>
        <w:ind w:firstLine="420" w:firstLineChars="200"/>
      </w:pPr>
      <w:r>
        <w:t xml:space="preserve">4.3.2  </w:t>
      </w:r>
      <w:r>
        <w:rPr>
          <w:szCs w:val="30"/>
        </w:rPr>
        <w:t>B超检查</w:t>
      </w:r>
      <w:r>
        <w:t>提示疾病</w:t>
      </w:r>
    </w:p>
    <w:p>
      <w:pPr>
        <w:adjustRightInd w:val="0"/>
        <w:snapToGrid w:val="0"/>
        <w:spacing w:line="500" w:lineRule="exact"/>
        <w:ind w:firstLine="420"/>
      </w:pPr>
      <w:r>
        <w:t>1）胰腺炎症：急、慢性胰腺炎，胰腺脓肿，胰腺结核，胰石症。</w:t>
      </w:r>
    </w:p>
    <w:p>
      <w:pPr>
        <w:adjustRightInd w:val="0"/>
        <w:snapToGrid w:val="0"/>
        <w:spacing w:line="500" w:lineRule="exact"/>
        <w:ind w:firstLine="420"/>
      </w:pPr>
      <w:r>
        <w:t>2）胰腺囊性病变：假性囊肿，真性囊肿（如先天性、潴留性、寄生虫性囊肿）。</w:t>
      </w:r>
    </w:p>
    <w:p>
      <w:pPr>
        <w:adjustRightInd w:val="0"/>
        <w:snapToGrid w:val="0"/>
        <w:spacing w:line="500" w:lineRule="exact"/>
        <w:ind w:firstLine="420"/>
      </w:pPr>
      <w:r>
        <w:t>3）胰腺肿瘤：良性、恶性肿瘤。</w:t>
      </w:r>
    </w:p>
    <w:p>
      <w:pPr>
        <w:adjustRightInd w:val="0"/>
        <w:snapToGrid w:val="0"/>
        <w:spacing w:line="500" w:lineRule="exact"/>
        <w:ind w:firstLine="420"/>
      </w:pPr>
      <w:r>
        <w:t>4）先天性胰腺异常。</w:t>
      </w:r>
    </w:p>
    <w:p>
      <w:pPr>
        <w:adjustRightInd w:val="0"/>
        <w:snapToGrid w:val="0"/>
        <w:spacing w:line="500" w:lineRule="exact"/>
        <w:rPr>
          <w:rFonts w:eastAsia="黑体"/>
          <w:b/>
          <w:bCs/>
        </w:rPr>
      </w:pPr>
      <w:r>
        <w:rPr>
          <w:rFonts w:hint="eastAsia" w:eastAsia="黑体"/>
          <w:b/>
          <w:bCs/>
        </w:rPr>
        <w:t xml:space="preserve">   </w:t>
      </w:r>
      <w:r>
        <w:rPr>
          <w:rFonts w:hint="eastAsia" w:ascii="宋体" w:hAnsi="宋体" w:cs="宋体"/>
          <w:b/>
          <w:bCs/>
        </w:rPr>
        <w:t xml:space="preserve"> 4.4  脾脏</w:t>
      </w:r>
    </w:p>
    <w:p>
      <w:pPr>
        <w:adjustRightInd w:val="0"/>
        <w:snapToGrid w:val="0"/>
        <w:spacing w:line="500" w:lineRule="exact"/>
        <w:ind w:firstLine="420" w:firstLineChars="200"/>
      </w:pPr>
      <w: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adjustRightInd w:val="0"/>
        <w:snapToGrid w:val="0"/>
        <w:spacing w:line="500" w:lineRule="exact"/>
      </w:pPr>
      <w:r>
        <w:t xml:space="preserve">    【测量参考值】</w:t>
      </w:r>
    </w:p>
    <w:p>
      <w:pPr>
        <w:adjustRightInd w:val="0"/>
        <w:snapToGrid w:val="0"/>
        <w:spacing w:line="500" w:lineRule="exact"/>
        <w:ind w:firstLine="420"/>
      </w:pPr>
      <w:r>
        <w:t xml:space="preserve">脾脏长径（肋间斜切面上脾下极最低点到上极最高点间的距离）＜11 </w:t>
      </w:r>
      <w:r>
        <w:rPr>
          <w:rFonts w:hint="eastAsia"/>
        </w:rPr>
        <w:t>厘米</w:t>
      </w:r>
      <w:r>
        <w:t>，脾脏厚度（肋间斜切面上脾门至脾对侧缘弧形切线的距离）＜4.0</w:t>
      </w:r>
      <w:r>
        <w:rPr>
          <w:rFonts w:hint="eastAsia"/>
        </w:rPr>
        <w:t>厘米</w:t>
      </w:r>
      <w:r>
        <w:t>，脾静脉内径（脾门部）＜0.8</w:t>
      </w:r>
      <w:r>
        <w:rPr>
          <w:rFonts w:hint="eastAsia"/>
        </w:rPr>
        <w:t>厘米</w:t>
      </w:r>
      <w:r>
        <w:t>。</w:t>
      </w:r>
    </w:p>
    <w:p>
      <w:pPr>
        <w:adjustRightInd w:val="0"/>
        <w:snapToGrid w:val="0"/>
        <w:spacing w:line="500" w:lineRule="exact"/>
        <w:ind w:firstLine="420"/>
      </w:pPr>
      <w:r>
        <w:t>【脾肿大判定标准】</w:t>
      </w:r>
    </w:p>
    <w:p>
      <w:pPr>
        <w:adjustRightInd w:val="0"/>
        <w:snapToGrid w:val="0"/>
        <w:spacing w:line="500" w:lineRule="exact"/>
        <w:ind w:firstLine="420"/>
      </w:pPr>
      <w:r>
        <w:t>脾脏长径＞10</w:t>
      </w:r>
      <w:r>
        <w:rPr>
          <w:rFonts w:hint="eastAsia"/>
        </w:rPr>
        <w:t>厘米</w:t>
      </w:r>
      <w:r>
        <w:t>或厚度＞4</w:t>
      </w:r>
      <w:r>
        <w:rPr>
          <w:rFonts w:hint="eastAsia"/>
        </w:rPr>
        <w:t>厘米</w:t>
      </w:r>
      <w:r>
        <w:t>，或脾脏长径×脾脏厚度×0.8≥38</w:t>
      </w:r>
      <w:r>
        <w:rPr>
          <w:rFonts w:hint="eastAsia"/>
        </w:rPr>
        <w:t>厘米</w:t>
      </w:r>
      <w:r>
        <w:rPr>
          <w:szCs w:val="21"/>
          <w:vertAlign w:val="superscript"/>
        </w:rPr>
        <w:t>2</w:t>
      </w:r>
      <w:r>
        <w:t>。</w:t>
      </w:r>
    </w:p>
    <w:p>
      <w:pPr>
        <w:adjustRightInd w:val="0"/>
        <w:snapToGrid w:val="0"/>
        <w:spacing w:line="500" w:lineRule="exact"/>
        <w:ind w:firstLine="420" w:firstLineChars="200"/>
      </w:pPr>
      <w:r>
        <w:t xml:space="preserve">4.4.2  </w:t>
      </w:r>
      <w:r>
        <w:rPr>
          <w:szCs w:val="30"/>
        </w:rPr>
        <w:t>B超检查</w:t>
      </w:r>
      <w:r>
        <w:t>提示的疾病或病变</w:t>
      </w:r>
      <w:r>
        <w:rPr>
          <w:rFonts w:hint="eastAsia"/>
        </w:rPr>
        <w:t>：</w:t>
      </w:r>
    </w:p>
    <w:p>
      <w:pPr>
        <w:adjustRightInd w:val="0"/>
        <w:snapToGrid w:val="0"/>
        <w:spacing w:line="500" w:lineRule="exact"/>
        <w:ind w:firstLine="420"/>
      </w:pPr>
      <w:r>
        <w:t>1）脾脏弥漫性肿大：肝硬化、瘀血、血液病、感染、结缔组织病等引起的脾肿大。</w:t>
      </w:r>
    </w:p>
    <w:p>
      <w:pPr>
        <w:adjustRightInd w:val="0"/>
        <w:snapToGrid w:val="0"/>
        <w:spacing w:line="500" w:lineRule="exact"/>
        <w:ind w:firstLine="420"/>
      </w:pPr>
      <w:r>
        <w:t>2）脾囊性病变：脾囊肿、多囊脾、脾包虫囊肿等。</w:t>
      </w:r>
    </w:p>
    <w:p>
      <w:pPr>
        <w:adjustRightInd w:val="0"/>
        <w:snapToGrid w:val="0"/>
        <w:spacing w:line="500" w:lineRule="exact"/>
        <w:ind w:firstLine="420"/>
      </w:pPr>
      <w:r>
        <w:t>3）脾实性占位病变：钙化灶、血管瘤、错构瘤、恶性淋巴瘤、转移瘤等。</w:t>
      </w:r>
    </w:p>
    <w:p>
      <w:pPr>
        <w:adjustRightInd w:val="0"/>
        <w:snapToGrid w:val="0"/>
        <w:spacing w:line="500" w:lineRule="exact"/>
        <w:ind w:firstLine="420"/>
      </w:pPr>
      <w:r>
        <w:t>4）脾血管病变。如脾梗塞、脾动脉瘤、脾静脉阻塞综合征。</w:t>
      </w:r>
    </w:p>
    <w:p>
      <w:pPr>
        <w:adjustRightInd w:val="0"/>
        <w:snapToGrid w:val="0"/>
        <w:spacing w:line="500" w:lineRule="exact"/>
        <w:ind w:firstLine="420"/>
      </w:pPr>
      <w:r>
        <w:t>5）脾萎缩。</w:t>
      </w:r>
    </w:p>
    <w:p>
      <w:pPr>
        <w:adjustRightInd w:val="0"/>
        <w:snapToGrid w:val="0"/>
        <w:spacing w:line="500" w:lineRule="exact"/>
        <w:ind w:firstLine="420"/>
      </w:pPr>
      <w:r>
        <w:t>脾脏B超检查除可发现一些疾病或病变外，还可发现一些先天性改变，如副脾、游走脾、多脾、无脾、先天性脾脏反位等。</w:t>
      </w:r>
    </w:p>
    <w:p>
      <w:pPr>
        <w:adjustRightInd w:val="0"/>
        <w:snapToGrid w:val="0"/>
        <w:spacing w:line="500" w:lineRule="exact"/>
        <w:rPr>
          <w:rFonts w:eastAsia="黑体"/>
          <w:b/>
          <w:bCs/>
        </w:rPr>
      </w:pPr>
      <w:r>
        <w:rPr>
          <w:rFonts w:hint="eastAsia" w:eastAsia="黑体"/>
          <w:b/>
          <w:bCs/>
        </w:rPr>
        <w:t xml:space="preserve">    </w:t>
      </w:r>
      <w:r>
        <w:rPr>
          <w:rFonts w:hint="eastAsia" w:ascii="宋体" w:hAnsi="宋体" w:cs="宋体"/>
          <w:b/>
          <w:bCs/>
        </w:rPr>
        <w:t>4.5  肾脏</w:t>
      </w:r>
    </w:p>
    <w:p>
      <w:pPr>
        <w:adjustRightInd w:val="0"/>
        <w:snapToGrid w:val="0"/>
        <w:spacing w:line="500" w:lineRule="exact"/>
        <w:ind w:firstLine="420" w:firstLineChars="200"/>
        <w:rPr>
          <w:b/>
        </w:rPr>
      </w:pPr>
      <w:r>
        <w:t>4.5.1  检查内容及超声测量参考值  主要观察：1）肾脏位置、大小、形态有无改变。2）有无先天性肾发育不良、异位肾、独肾等先天性肾发育异常。有无萎缩肾。3）肾脏结构有无异常改变，肾包膜、肾实质（皮、髓质）、肾集合系统情况。正常肾包膜完整，皮、髓质分界清楚。4）有无肾脏占位性病变，其大小、形态、回声、部位、病灶内部及周边血流、与周围组织的关系等。疑为恶性肿瘤时，应常规检查肾门部、主动脉及下腔静脉周围有无肿大淋巴结，肾静脉及下腔静脉有无瘤栓。5）有无局限性强回声，其后方有无声影等。6）肾盂、肾盏有无扩张现象等。7）肾周有无积液、有无脓肿、血肿或其他异常。</w:t>
      </w:r>
    </w:p>
    <w:p>
      <w:pPr>
        <w:adjustRightInd w:val="0"/>
        <w:snapToGrid w:val="0"/>
        <w:spacing w:line="500" w:lineRule="exact"/>
        <w:ind w:firstLine="420" w:firstLineChars="200"/>
      </w:pPr>
      <w:r>
        <w:t>【测量参考值】</w:t>
      </w:r>
    </w:p>
    <w:p>
      <w:pPr>
        <w:adjustRightInd w:val="0"/>
        <w:snapToGrid w:val="0"/>
        <w:spacing w:line="500" w:lineRule="exact"/>
        <w:ind w:firstLine="420" w:firstLineChars="200"/>
      </w:pPr>
      <w:r>
        <w:t xml:space="preserve">肾脏长径10～12 </w:t>
      </w:r>
      <w:r>
        <w:rPr>
          <w:rFonts w:hint="eastAsia"/>
        </w:rPr>
        <w:t>厘米</w:t>
      </w:r>
      <w:r>
        <w:t xml:space="preserve">，横径5～6 </w:t>
      </w:r>
      <w:r>
        <w:rPr>
          <w:rFonts w:hint="eastAsia"/>
        </w:rPr>
        <w:t>厘米</w:t>
      </w:r>
      <w:r>
        <w:t xml:space="preserve">，前后径3～4 </w:t>
      </w:r>
      <w:r>
        <w:rPr>
          <w:rFonts w:hint="eastAsia"/>
        </w:rPr>
        <w:t>厘米</w:t>
      </w:r>
      <w:r>
        <w:t xml:space="preserve">，左肾大于右肾；肾实质厚度1.5～2.5 </w:t>
      </w:r>
      <w:r>
        <w:rPr>
          <w:rFonts w:hint="eastAsia"/>
        </w:rPr>
        <w:t>厘米</w:t>
      </w:r>
      <w:r>
        <w:t xml:space="preserve">，肾皮质厚度0.5～0.7 </w:t>
      </w:r>
      <w:r>
        <w:rPr>
          <w:rFonts w:hint="eastAsia"/>
        </w:rPr>
        <w:t>厘米</w:t>
      </w:r>
      <w:r>
        <w:t xml:space="preserve">，肾集合系统宽度占肾断面1/2或2/3，肾盂分离≤1.5 </w:t>
      </w:r>
      <w:r>
        <w:rPr>
          <w:rFonts w:hint="eastAsia"/>
        </w:rPr>
        <w:t>厘米</w:t>
      </w:r>
      <w:r>
        <w:t>。</w:t>
      </w:r>
    </w:p>
    <w:p>
      <w:pPr>
        <w:adjustRightInd w:val="0"/>
        <w:snapToGrid w:val="0"/>
        <w:spacing w:line="500" w:lineRule="exact"/>
        <w:ind w:firstLine="420" w:firstLineChars="200"/>
      </w:pPr>
      <w:r>
        <w:t xml:space="preserve">4.5.2  </w:t>
      </w:r>
      <w:r>
        <w:rPr>
          <w:szCs w:val="30"/>
        </w:rPr>
        <w:t>B超检查</w:t>
      </w:r>
      <w:r>
        <w:t>提示疾病或病变</w:t>
      </w:r>
    </w:p>
    <w:p>
      <w:pPr>
        <w:adjustRightInd w:val="0"/>
        <w:snapToGrid w:val="0"/>
        <w:spacing w:line="500" w:lineRule="exact"/>
        <w:ind w:firstLine="420"/>
      </w:pPr>
      <w:r>
        <w:t>1）囊性占位病变：肾囊肿、多囊肾、输尿管囊肿等。</w:t>
      </w:r>
    </w:p>
    <w:p>
      <w:pPr>
        <w:adjustRightInd w:val="0"/>
        <w:snapToGrid w:val="0"/>
        <w:spacing w:line="500" w:lineRule="exact"/>
        <w:ind w:firstLine="420"/>
      </w:pPr>
      <w:r>
        <w:t>2）实性占位病变：肾癌、肾盂癌、肾错构瘤、输尿管肿瘤等。</w:t>
      </w:r>
    </w:p>
    <w:p>
      <w:pPr>
        <w:adjustRightInd w:val="0"/>
        <w:snapToGrid w:val="0"/>
        <w:spacing w:line="500" w:lineRule="exact"/>
        <w:ind w:firstLine="420"/>
      </w:pPr>
      <w:r>
        <w:t>3）肾脏弥漫性病变：急、慢性肾小球肾炎、肾病综合征、肾盂肾炎、肾淀粉样变及肾中毒等。</w:t>
      </w:r>
    </w:p>
    <w:p>
      <w:pPr>
        <w:adjustRightInd w:val="0"/>
        <w:snapToGrid w:val="0"/>
        <w:spacing w:line="500" w:lineRule="exact"/>
        <w:ind w:firstLine="420" w:firstLineChars="200"/>
      </w:pPr>
      <w:r>
        <w:t>4）肾结石、肾积水、输尿管结石及尿路梗阻等。</w:t>
      </w:r>
    </w:p>
    <w:p>
      <w:pPr>
        <w:adjustRightInd w:val="0"/>
        <w:snapToGrid w:val="0"/>
        <w:spacing w:line="500" w:lineRule="exact"/>
        <w:ind w:firstLine="420"/>
      </w:pPr>
      <w:r>
        <w:t>5）肾实质破坏、钙化等（提示肾结核）。</w:t>
      </w:r>
    </w:p>
    <w:p>
      <w:pPr>
        <w:adjustRightInd w:val="0"/>
        <w:snapToGrid w:val="0"/>
        <w:spacing w:line="500" w:lineRule="exact"/>
        <w:ind w:firstLine="420"/>
      </w:pPr>
      <w:r>
        <w:t>肾脏B超检查除可发现一些疾病或病变外，还可发现一些先天性</w:t>
      </w:r>
      <w:r>
        <w:rPr>
          <w:rFonts w:hint="eastAsia"/>
        </w:rPr>
        <w:t>异常</w:t>
      </w:r>
      <w:r>
        <w:t>，如孤立肾、重复肾、异位肾、游走肾、双肾盂、分叶肾、输尿管狭窄、输尿管扩张等。</w:t>
      </w:r>
    </w:p>
    <w:p>
      <w:pPr>
        <w:pStyle w:val="3"/>
        <w:adjustRightInd w:val="0"/>
        <w:snapToGrid w:val="0"/>
        <w:spacing w:before="0" w:after="0" w:line="500" w:lineRule="exact"/>
        <w:rPr>
          <w:rFonts w:ascii="Times New Roman" w:hAnsi="Times New Roman"/>
          <w:sz w:val="21"/>
          <w:szCs w:val="21"/>
        </w:rPr>
      </w:pPr>
      <w:bookmarkStart w:id="11" w:name="_Toc391888319"/>
      <w:r>
        <w:rPr>
          <w:rFonts w:ascii="Times New Roman" w:hAnsi="Times New Roman"/>
          <w:sz w:val="21"/>
          <w:szCs w:val="21"/>
        </w:rPr>
        <w:t>5  胸部X线检查</w:t>
      </w:r>
      <w:bookmarkEnd w:id="11"/>
    </w:p>
    <w:p>
      <w:pPr>
        <w:adjustRightInd w:val="0"/>
        <w:snapToGrid w:val="0"/>
        <w:spacing w:line="500" w:lineRule="exact"/>
        <w:ind w:firstLine="420" w:firstLineChars="200"/>
      </w:pPr>
      <w:r>
        <w:t>常规拍摄胸部正位片。重点检查有无肺结核、肿瘤、纵隔疾病。必要时加摄胸部侧位片或辅以CT等检查，以确定诊断。</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5.1  设备设施要求</w:t>
      </w:r>
    </w:p>
    <w:p>
      <w:pPr>
        <w:adjustRightInd w:val="0"/>
        <w:snapToGrid w:val="0"/>
        <w:spacing w:line="500" w:lineRule="exact"/>
        <w:ind w:firstLine="420" w:firstLineChars="200"/>
      </w:pPr>
      <w:r>
        <w:t>1）室内X线检查机房防护合格。尽可能采用数字化设备。</w:t>
      </w:r>
    </w:p>
    <w:p>
      <w:pPr>
        <w:adjustRightInd w:val="0"/>
        <w:snapToGrid w:val="0"/>
        <w:spacing w:line="500" w:lineRule="exact"/>
        <w:ind w:firstLine="420" w:firstLineChars="200"/>
      </w:pPr>
      <w:r>
        <w:t>2）检查室内应配备有受检者个人防护用品。</w:t>
      </w:r>
    </w:p>
    <w:p>
      <w:pPr>
        <w:adjustRightInd w:val="0"/>
        <w:snapToGrid w:val="0"/>
        <w:spacing w:line="500" w:lineRule="exact"/>
        <w:ind w:firstLine="420" w:firstLineChars="200"/>
      </w:pPr>
      <w:r>
        <w:t>3）X线检查设备设施所有单位应持有当地卫生行政部门发放的“放射工作许可证”。</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5.2  操作人员要求</w:t>
      </w:r>
    </w:p>
    <w:p>
      <w:pPr>
        <w:adjustRightInd w:val="0"/>
        <w:snapToGrid w:val="0"/>
        <w:spacing w:line="500" w:lineRule="exact"/>
        <w:ind w:firstLine="420" w:firstLineChars="200"/>
      </w:pPr>
      <w:r>
        <w:t>1）X线摄影操作人员应是有5年以上放射工作经历、持有放射工作人员上岗证的放射科医师、技师。</w:t>
      </w:r>
    </w:p>
    <w:p>
      <w:pPr>
        <w:adjustRightInd w:val="0"/>
        <w:snapToGrid w:val="0"/>
        <w:spacing w:line="500" w:lineRule="exact"/>
        <w:ind w:firstLine="420" w:firstLineChars="200"/>
      </w:pPr>
      <w:r>
        <w:t>2）诊断、读片医师应有中级以上（含中级）放射诊断专业职称。</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5.3  胸片质量要求</w:t>
      </w:r>
    </w:p>
    <w:p>
      <w:pPr>
        <w:adjustRightInd w:val="0"/>
        <w:snapToGrid w:val="0"/>
        <w:spacing w:line="500" w:lineRule="exact"/>
        <w:ind w:firstLine="420" w:firstLineChars="200"/>
      </w:pPr>
      <w:r>
        <w:t>采用标准后前位胸部摄影。</w:t>
      </w:r>
    </w:p>
    <w:p>
      <w:pPr>
        <w:adjustRightInd w:val="0"/>
        <w:snapToGrid w:val="0"/>
        <w:spacing w:line="500" w:lineRule="exact"/>
        <w:ind w:firstLine="420" w:firstLineChars="200"/>
      </w:pPr>
      <w:r>
        <w:t>具体的标准后前位胸部摄影应满足以下条件：</w:t>
      </w:r>
    </w:p>
    <w:p>
      <w:pPr>
        <w:widowControl/>
        <w:adjustRightInd w:val="0"/>
        <w:snapToGrid w:val="0"/>
        <w:spacing w:line="500" w:lineRule="exact"/>
        <w:ind w:firstLine="420" w:firstLineChars="200"/>
        <w:jc w:val="left"/>
      </w:pPr>
      <w:r>
        <w:t>1）清晰显示两肺野。</w:t>
      </w:r>
    </w:p>
    <w:p>
      <w:pPr>
        <w:widowControl/>
        <w:adjustRightInd w:val="0"/>
        <w:snapToGrid w:val="0"/>
        <w:spacing w:line="500" w:lineRule="exact"/>
        <w:ind w:firstLine="420" w:firstLineChars="200"/>
        <w:jc w:val="left"/>
      </w:pPr>
      <w:r>
        <w:t>2）通过气管影像，第1～4胸椎清晰可见；通过纵隔阴影，第4以下胸椎隐约可见。</w:t>
      </w:r>
    </w:p>
    <w:p>
      <w:pPr>
        <w:widowControl/>
        <w:adjustRightInd w:val="0"/>
        <w:snapToGrid w:val="0"/>
        <w:spacing w:line="500" w:lineRule="exact"/>
        <w:ind w:firstLine="420" w:firstLineChars="200"/>
        <w:jc w:val="left"/>
      </w:pPr>
      <w:r>
        <w:t>3）整个胸廓和肋膈角都含在照射野内。</w:t>
      </w:r>
    </w:p>
    <w:p>
      <w:pPr>
        <w:widowControl/>
        <w:adjustRightInd w:val="0"/>
        <w:snapToGrid w:val="0"/>
        <w:spacing w:line="500" w:lineRule="exact"/>
        <w:ind w:firstLine="420" w:firstLineChars="200"/>
        <w:jc w:val="left"/>
        <w:rPr>
          <w:rFonts w:hint="eastAsia" w:ascii="宋体" w:hAnsi="宋体" w:cs="宋体"/>
        </w:rPr>
      </w:pPr>
      <w:r>
        <w:t>4）肩胛骨不遮蔽肺</w:t>
      </w:r>
      <w:r>
        <w:rPr>
          <w:rFonts w:hint="eastAsia" w:ascii="宋体" w:hAnsi="宋体" w:cs="宋体"/>
        </w:rPr>
        <w:t>野。</w:t>
      </w:r>
    </w:p>
    <w:p>
      <w:pPr>
        <w:widowControl/>
        <w:adjustRightInd w:val="0"/>
        <w:snapToGrid w:val="0"/>
        <w:spacing w:line="500" w:lineRule="exact"/>
        <w:ind w:firstLine="420" w:firstLineChars="200"/>
        <w:jc w:val="left"/>
      </w:pPr>
      <w:r>
        <w:rPr>
          <w:rFonts w:hint="eastAsia" w:ascii="宋体" w:hAnsi="宋体" w:cs="宋体"/>
        </w:rPr>
        <w:t>5）锁骨上应看</w:t>
      </w:r>
      <w:r>
        <w:t>到肺尖。</w:t>
      </w:r>
    </w:p>
    <w:p>
      <w:pPr>
        <w:widowControl/>
        <w:adjustRightInd w:val="0"/>
        <w:snapToGrid w:val="0"/>
        <w:spacing w:line="500" w:lineRule="exact"/>
        <w:ind w:firstLine="420" w:firstLineChars="200"/>
        <w:jc w:val="left"/>
      </w:pPr>
      <w:r>
        <w:t>6）两侧锁骨在胸锁关节处对称。</w:t>
      </w:r>
    </w:p>
    <w:p>
      <w:pPr>
        <w:widowControl/>
        <w:adjustRightInd w:val="0"/>
        <w:snapToGrid w:val="0"/>
        <w:spacing w:line="500" w:lineRule="exact"/>
        <w:ind w:firstLine="420" w:firstLineChars="200"/>
        <w:jc w:val="left"/>
        <w:rPr>
          <w:color w:val="000000"/>
          <w:kern w:val="0"/>
          <w:szCs w:val="21"/>
        </w:rPr>
      </w:pPr>
      <w:r>
        <w:t>7）膈顶阴影应显示清楚。</w:t>
      </w:r>
    </w:p>
    <w:p>
      <w:pPr>
        <w:adjustRightInd w:val="0"/>
        <w:snapToGrid w:val="0"/>
        <w:spacing w:line="500" w:lineRule="exact"/>
        <w:rPr>
          <w:rFonts w:hint="eastAsia" w:ascii="宋体" w:hAnsi="宋体" w:cs="宋体"/>
          <w:b/>
        </w:rPr>
      </w:pPr>
      <w:r>
        <w:rPr>
          <w:rFonts w:hint="eastAsia" w:eastAsia="黑体"/>
          <w:b/>
        </w:rPr>
        <w:t xml:space="preserve">    </w:t>
      </w:r>
      <w:r>
        <w:rPr>
          <w:rFonts w:hint="eastAsia" w:ascii="宋体" w:hAnsi="宋体" w:cs="宋体"/>
          <w:b/>
        </w:rPr>
        <w:t>5.4  X线影像提示的肺部病变</w:t>
      </w:r>
    </w:p>
    <w:p>
      <w:pPr>
        <w:adjustRightInd w:val="0"/>
        <w:snapToGrid w:val="0"/>
        <w:spacing w:line="500" w:lineRule="exact"/>
        <w:ind w:firstLine="420" w:firstLineChars="200"/>
      </w:pPr>
      <w:r>
        <w:t>1）渗出与实变阴影：肺部炎症主要为渗出性病变，肺泡内的气体被渗出的液体、蛋白及细胞所代替，进而形成实变，多见于肺炎性病变、渗出性肺结核、肺出血及肺水肿。表现为密度较高的均匀云絮状影，形状不规则，边缘模糊，与正常肺组织无清楚界限，肺叶段实变阴影可边缘清楚。</w:t>
      </w:r>
    </w:p>
    <w:p>
      <w:pPr>
        <w:adjustRightInd w:val="0"/>
        <w:snapToGrid w:val="0"/>
        <w:spacing w:line="500" w:lineRule="exact"/>
        <w:ind w:firstLine="420" w:firstLineChars="200"/>
      </w:pPr>
      <w:r>
        <w:t>2）粟粒状阴影：指4</w:t>
      </w:r>
      <w:r>
        <w:rPr>
          <w:rFonts w:hint="eastAsia"/>
        </w:rPr>
        <w:t>毫米</w:t>
      </w:r>
      <w:r>
        <w:t>以下的小点状影，多呈弥漫性分布，密度可高可低，多见于粟粒型肺结核、尘肺、结节病、转移性肺癌、肺泡癌等。</w:t>
      </w:r>
    </w:p>
    <w:p>
      <w:pPr>
        <w:adjustRightInd w:val="0"/>
        <w:snapToGrid w:val="0"/>
        <w:spacing w:line="500" w:lineRule="exact"/>
        <w:ind w:firstLine="420" w:firstLineChars="200"/>
      </w:pPr>
      <w:r>
        <w:t xml:space="preserve">3）结节状阴影：多指1～3 </w:t>
      </w:r>
      <w:r>
        <w:rPr>
          <w:rFonts w:hint="eastAsia"/>
        </w:rPr>
        <w:t>厘米</w:t>
      </w:r>
      <w:r>
        <w:t>的圆形或椭圆形阴影，可单发或多发，密度较高，边缘较清晰，与周围正常肺组织界限清楚，多见于肺结核、肺癌、转移瘤、结节病等。</w:t>
      </w:r>
    </w:p>
    <w:p>
      <w:pPr>
        <w:adjustRightInd w:val="0"/>
        <w:snapToGrid w:val="0"/>
        <w:spacing w:line="500" w:lineRule="exact"/>
        <w:ind w:firstLine="420" w:firstLineChars="200"/>
      </w:pPr>
      <w:r>
        <w:t xml:space="preserve">4）肿块阴影：为直径多超过3 </w:t>
      </w:r>
      <w:r>
        <w:rPr>
          <w:rFonts w:hint="eastAsia"/>
        </w:rPr>
        <w:t>厘米</w:t>
      </w:r>
      <w:r>
        <w:t>、形态不规则、密度增高阴影。肺癌肿块呈分叶状，有切迹、毛刺；良性肿块边缘清楚，可有钙化，有时其间可见透亮区。</w:t>
      </w:r>
    </w:p>
    <w:p>
      <w:pPr>
        <w:adjustRightInd w:val="0"/>
        <w:snapToGrid w:val="0"/>
        <w:spacing w:line="500" w:lineRule="exact"/>
        <w:ind w:firstLine="420" w:firstLineChars="200"/>
      </w:pPr>
      <w:r>
        <w:t>5）空洞/空腔阴影：呈圆形或椭圆形透亮区，壁厚薄不一。壁厚者，内壁光滑，外壁模糊，多为肺脓疡所致，并可有液平面；若外缘清楚，内缘凹凸不平，多由癌性空洞引起；结核性空洞壁较薄，周围多有卫星灶。</w:t>
      </w:r>
    </w:p>
    <w:p>
      <w:pPr>
        <w:adjustRightInd w:val="0"/>
        <w:snapToGrid w:val="0"/>
        <w:spacing w:line="500" w:lineRule="exact"/>
        <w:ind w:firstLine="420" w:firstLineChars="200"/>
      </w:pPr>
      <w: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adjustRightInd w:val="0"/>
        <w:snapToGrid w:val="0"/>
        <w:spacing w:line="500" w:lineRule="exact"/>
        <w:ind w:firstLine="420" w:firstLineChars="200"/>
      </w:pPr>
      <w:r>
        <w:t>7）肺透亮度增加：局部或全肺透亮度增加，肺纹理细而稀，为肺含气量过多的表现，可见于弥漫性阻塞性肺气肿、代偿性肺过度充气及局限性阻塞性肺过度充气。</w:t>
      </w:r>
    </w:p>
    <w:p>
      <w:pPr>
        <w:adjustRightInd w:val="0"/>
        <w:snapToGrid w:val="0"/>
        <w:spacing w:line="500" w:lineRule="exact"/>
        <w:ind w:firstLine="420" w:firstLineChars="200"/>
      </w:pPr>
      <w:r>
        <w:t>8）肺门肿块阴影：形态不规则的单侧或双侧肺门部肿块阴影，边缘清晰或模糊，多见于肺癌、转移瘤、结核、淋巴瘤、结节病所致的肺门淋巴结肿大；有时肺血管增粗也可显示肺门阴影增大。</w:t>
      </w:r>
    </w:p>
    <w:p>
      <w:pPr>
        <w:adjustRightInd w:val="0"/>
        <w:snapToGrid w:val="0"/>
        <w:spacing w:line="500" w:lineRule="exact"/>
        <w:ind w:firstLine="420" w:firstLineChars="200"/>
      </w:pPr>
      <w:r>
        <w:t>9）钙化阴影：阴影密度最高，近似骨骼，呈斑点状、结节状、片状等，边缘锐利清晰，规则或不规则，多为陈旧结核灶或错构瘤。</w:t>
      </w:r>
    </w:p>
    <w:p>
      <w:pPr>
        <w:adjustRightInd w:val="0"/>
        <w:snapToGrid w:val="0"/>
        <w:spacing w:line="500" w:lineRule="exact"/>
        <w:ind w:firstLine="420" w:firstLineChars="200"/>
      </w:pPr>
      <w:r>
        <w:t>10）胸膜病变影像：胸腔积液多表现为密度增加均匀一致阴影，上缘清，凹面向上；气胸多见透亮度增加，肺纹理消失；胸膜肥厚可形成侧胸壁带状阴影，肺野透亮度减低。</w:t>
      </w:r>
    </w:p>
    <w:p>
      <w:pPr>
        <w:pStyle w:val="3"/>
        <w:adjustRightInd w:val="0"/>
        <w:snapToGrid w:val="0"/>
        <w:spacing w:before="0" w:after="0" w:line="500" w:lineRule="exact"/>
        <w:rPr>
          <w:rFonts w:ascii="Times New Roman" w:hAnsi="Times New Roman"/>
          <w:sz w:val="21"/>
          <w:szCs w:val="21"/>
        </w:rPr>
      </w:pPr>
      <w:bookmarkStart w:id="12" w:name="_Toc391888320"/>
      <w:r>
        <w:rPr>
          <w:rFonts w:ascii="Times New Roman" w:hAnsi="Times New Roman"/>
          <w:sz w:val="21"/>
          <w:szCs w:val="21"/>
        </w:rPr>
        <w:t>6  实验室检查</w:t>
      </w:r>
      <w:bookmarkEnd w:id="12"/>
    </w:p>
    <w:p>
      <w:pPr>
        <w:adjustRightInd w:val="0"/>
        <w:snapToGrid w:val="0"/>
        <w:spacing w:line="500" w:lineRule="exact"/>
        <w:ind w:firstLine="420" w:firstLineChars="200"/>
      </w:pPr>
      <w:r>
        <w:t>实验室检查虽是辅助检查项目，但在公务员录用体检工作中，其检测结果往往直接关系到体检结论。</w:t>
      </w:r>
      <w:r>
        <w:rPr>
          <w:color w:val="000000"/>
          <w:szCs w:val="21"/>
        </w:rPr>
        <w:t>参考</w:t>
      </w:r>
      <w:r>
        <w:t>值范围在不同的体检医疗机构之间可以存在一定的差异，这主要是由于检测系统的不同（包括仪器、试剂、方法学等）。中华人民共和国卫生行业标准“临床常用生化检验项目和血细胞分析中国成年人的参考值范围”自2013年8月1日实施。体检中常用检验项目的参考值范围可参照执行。</w:t>
      </w:r>
    </w:p>
    <w:p>
      <w:pPr>
        <w:adjustRightInd w:val="0"/>
        <w:snapToGrid w:val="0"/>
        <w:spacing w:line="500" w:lineRule="exact"/>
        <w:ind w:firstLine="420" w:firstLineChars="200"/>
        <w:rPr>
          <w:b/>
          <w:color w:val="FF0000"/>
        </w:rPr>
      </w:pPr>
      <w:r>
        <w:t>在公务员录用体检项目中，除血细胞分析、尿常规加镜检及空腹血糖的参考值范围应做到全国统一外，其他检验项目由于上述原因的存在，可执行本</w:t>
      </w:r>
      <w:r>
        <w:rPr>
          <w:rFonts w:hint="eastAsia"/>
        </w:rPr>
        <w:t>医疗机构或当地医疗机构</w:t>
      </w:r>
      <w:r>
        <w:t>的参考值范围。</w:t>
      </w:r>
    </w:p>
    <w:p>
      <w:pPr>
        <w:adjustRightInd w:val="0"/>
        <w:snapToGrid w:val="0"/>
        <w:spacing w:line="500" w:lineRule="exact"/>
        <w:ind w:firstLine="420" w:firstLineChars="200"/>
      </w:pPr>
      <w:r>
        <w:rPr>
          <w:bCs/>
        </w:rPr>
        <w:t>实验室检查相关要求，包括</w:t>
      </w:r>
      <w:r>
        <w:t>检验科操作程序、采血室操作规程以及艾滋病检测初筛实验室必备条件详见附录C。</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6.1  血常规</w:t>
      </w:r>
    </w:p>
    <w:p>
      <w:pPr>
        <w:adjustRightInd w:val="0"/>
        <w:snapToGrid w:val="0"/>
        <w:spacing w:line="500" w:lineRule="exact"/>
        <w:ind w:firstLine="420" w:firstLineChars="200"/>
      </w:pPr>
      <w:r>
        <w:t>可为血液病的诊断提供线索。必查项目包括以下5项：</w:t>
      </w:r>
    </w:p>
    <w:p>
      <w:pPr>
        <w:adjustRightInd w:val="0"/>
        <w:snapToGrid w:val="0"/>
        <w:spacing w:line="500" w:lineRule="exact"/>
        <w:ind w:firstLine="420" w:firstLineChars="200"/>
      </w:pPr>
      <w:r>
        <w:t>6.1.1  红细胞总数（RBC）</w:t>
      </w:r>
    </w:p>
    <w:p>
      <w:pPr>
        <w:adjustRightInd w:val="0"/>
        <w:snapToGrid w:val="0"/>
        <w:spacing w:line="500" w:lineRule="exact"/>
        <w:ind w:firstLine="420" w:firstLineChars="200"/>
      </w:pPr>
      <w:r>
        <w:t>【参考值】  男性：（4.3～5.8）×l0</w:t>
      </w:r>
      <w:r>
        <w:rPr>
          <w:vertAlign w:val="superscript"/>
        </w:rPr>
        <w:t>12</w:t>
      </w:r>
      <w:r>
        <w:t>/L；女性：（3.8～5.1）×l0</w:t>
      </w:r>
      <w:r>
        <w:rPr>
          <w:vertAlign w:val="superscript"/>
        </w:rPr>
        <w:t>12</w:t>
      </w:r>
      <w:r>
        <w:t>/L。</w:t>
      </w:r>
    </w:p>
    <w:p>
      <w:pPr>
        <w:adjustRightInd w:val="0"/>
        <w:snapToGrid w:val="0"/>
        <w:spacing w:line="500" w:lineRule="exact"/>
        <w:ind w:firstLine="420" w:firstLineChars="200"/>
      </w:pPr>
      <w:r>
        <w:t>红细胞减少多见于各种贫血，如急性或慢性再生障碍性贫血、缺铁性贫血等。红细胞增多常见于身体缺氧、血液浓缩、真性红细胞增多症、继发性红细胞增多症等。</w:t>
      </w:r>
    </w:p>
    <w:p>
      <w:pPr>
        <w:adjustRightInd w:val="0"/>
        <w:snapToGrid w:val="0"/>
        <w:spacing w:line="500" w:lineRule="exact"/>
        <w:ind w:firstLine="420" w:firstLineChars="200"/>
      </w:pPr>
      <w:r>
        <w:t>6.1.2  血红蛋白(HGB)</w:t>
      </w:r>
    </w:p>
    <w:p>
      <w:pPr>
        <w:adjustRightInd w:val="0"/>
        <w:snapToGrid w:val="0"/>
        <w:spacing w:line="500" w:lineRule="exact"/>
        <w:ind w:firstLine="420" w:firstLineChars="200"/>
      </w:pPr>
      <w:r>
        <w:t xml:space="preserve">【参考值】  男性：130～175 g/L；女性：115～150 g/L。 </w:t>
      </w:r>
    </w:p>
    <w:p>
      <w:pPr>
        <w:adjustRightInd w:val="0"/>
        <w:snapToGrid w:val="0"/>
        <w:spacing w:line="500" w:lineRule="exact"/>
        <w:ind w:firstLine="420" w:firstLineChars="200"/>
      </w:pPr>
      <w:r>
        <w:t>血红蛋白减少或增多的临床意义基本同红细胞总数。</w:t>
      </w:r>
    </w:p>
    <w:p>
      <w:pPr>
        <w:adjustRightInd w:val="0"/>
        <w:snapToGrid w:val="0"/>
        <w:spacing w:line="500" w:lineRule="exact"/>
        <w:ind w:firstLine="420" w:firstLineChars="200"/>
      </w:pPr>
      <w:r>
        <w:t>6.1.3  白细胞总数(WBC)</w:t>
      </w:r>
    </w:p>
    <w:p>
      <w:pPr>
        <w:adjustRightInd w:val="0"/>
        <w:snapToGrid w:val="0"/>
        <w:spacing w:line="500" w:lineRule="exact"/>
        <w:ind w:firstLine="420" w:firstLineChars="200"/>
      </w:pPr>
      <w:r>
        <w:t>【参考值】 （3.5～9.5）×10</w:t>
      </w:r>
      <w:r>
        <w:rPr>
          <w:vertAlign w:val="superscript"/>
        </w:rPr>
        <w:t>9</w:t>
      </w:r>
      <w:r>
        <w:t>/L。</w:t>
      </w:r>
    </w:p>
    <w:p>
      <w:pPr>
        <w:adjustRightInd w:val="0"/>
        <w:snapToGrid w:val="0"/>
        <w:spacing w:line="500" w:lineRule="exact"/>
        <w:ind w:firstLine="420" w:firstLineChars="200"/>
      </w:pPr>
      <w:r>
        <w:t>生理性白细胞增多常见于剧烈运动、进食后、妊娠期等。另外，采血部位不同，也可使白细胞数有差异，如耳垂血平均白细胞数比指血要高一些。</w:t>
      </w:r>
    </w:p>
    <w:p>
      <w:pPr>
        <w:adjustRightInd w:val="0"/>
        <w:snapToGrid w:val="0"/>
        <w:spacing w:line="500" w:lineRule="exact"/>
        <w:ind w:firstLine="420" w:firstLineChars="200"/>
      </w:pPr>
      <w:r>
        <w:t>病理性白细胞增多常见于急性化脓性感染、尿毒症、白血病、组织损伤、急性出血等。</w:t>
      </w:r>
    </w:p>
    <w:p>
      <w:pPr>
        <w:adjustRightInd w:val="0"/>
        <w:snapToGrid w:val="0"/>
        <w:spacing w:line="500" w:lineRule="exact"/>
        <w:ind w:firstLine="420" w:firstLineChars="200"/>
      </w:pPr>
      <w:r>
        <w:t>病理性白细胞减少常见于再生障碍性贫血、某些传染病、肝硬化、脾功能亢进、放疗、化疗、服用某些药物后等。</w:t>
      </w:r>
    </w:p>
    <w:p>
      <w:pPr>
        <w:adjustRightInd w:val="0"/>
        <w:snapToGrid w:val="0"/>
        <w:spacing w:line="500" w:lineRule="exact"/>
        <w:ind w:firstLine="420" w:firstLineChars="200"/>
      </w:pPr>
      <w:r>
        <w:t>6.1.4  白细胞分类计数（DC）</w:t>
      </w:r>
    </w:p>
    <w:p>
      <w:pPr>
        <w:adjustRightInd w:val="0"/>
        <w:snapToGrid w:val="0"/>
        <w:spacing w:line="500" w:lineRule="exact"/>
        <w:ind w:firstLine="420" w:firstLineChars="200"/>
      </w:pPr>
      <w:r>
        <w:t>【参考值】</w:t>
      </w:r>
    </w:p>
    <w:p>
      <w:pPr>
        <w:adjustRightInd w:val="0"/>
        <w:snapToGrid w:val="0"/>
        <w:spacing w:line="500" w:lineRule="exact"/>
        <w:ind w:firstLine="420" w:firstLineChars="200"/>
      </w:pPr>
      <w:r>
        <w:t xml:space="preserve">中性粒细胞： </w:t>
      </w:r>
      <w:r>
        <w:rPr>
          <w:rFonts w:hint="eastAsia"/>
        </w:rPr>
        <w:t>（</w:t>
      </w:r>
      <w:r>
        <w:t>1.8～6.3</w:t>
      </w:r>
      <w:r>
        <w:rPr>
          <w:rFonts w:hint="eastAsia"/>
        </w:rPr>
        <w:t>）</w:t>
      </w:r>
      <w:r>
        <w:t>×10</w:t>
      </w:r>
      <w:r>
        <w:rPr>
          <w:vertAlign w:val="superscript"/>
        </w:rPr>
        <w:t>9</w:t>
      </w:r>
      <w:r>
        <w:t>/L（40%～75%）。</w:t>
      </w:r>
    </w:p>
    <w:p>
      <w:pPr>
        <w:adjustRightInd w:val="0"/>
        <w:snapToGrid w:val="0"/>
        <w:spacing w:line="500" w:lineRule="exact"/>
        <w:ind w:firstLine="420" w:firstLineChars="200"/>
      </w:pPr>
      <w:r>
        <w:t xml:space="preserve">嗜酸粒细胞： </w:t>
      </w:r>
      <w:r>
        <w:rPr>
          <w:rFonts w:hint="eastAsia"/>
        </w:rPr>
        <w:t>（</w:t>
      </w:r>
      <w:r>
        <w:t>0.02～0.52</w:t>
      </w:r>
      <w:r>
        <w:rPr>
          <w:rFonts w:hint="eastAsia"/>
        </w:rPr>
        <w:t>）</w:t>
      </w:r>
      <w:r>
        <w:t>×10</w:t>
      </w:r>
      <w:r>
        <w:rPr>
          <w:vertAlign w:val="superscript"/>
        </w:rPr>
        <w:t>9</w:t>
      </w:r>
      <w:r>
        <w:t>/L（0.4%～8%）。</w:t>
      </w:r>
    </w:p>
    <w:p>
      <w:pPr>
        <w:adjustRightInd w:val="0"/>
        <w:snapToGrid w:val="0"/>
        <w:spacing w:line="500" w:lineRule="exact"/>
        <w:ind w:firstLine="420" w:firstLineChars="200"/>
      </w:pPr>
      <w:r>
        <w:t xml:space="preserve">嗜碱粒细胞： </w:t>
      </w:r>
      <w:r>
        <w:rPr>
          <w:rFonts w:hint="eastAsia"/>
        </w:rPr>
        <w:t>（</w:t>
      </w:r>
      <w:r>
        <w:t>0.00～0.06</w:t>
      </w:r>
      <w:r>
        <w:rPr>
          <w:rFonts w:hint="eastAsia"/>
        </w:rPr>
        <w:t>）</w:t>
      </w:r>
      <w:r>
        <w:t>×10</w:t>
      </w:r>
      <w:r>
        <w:rPr>
          <w:vertAlign w:val="superscript"/>
        </w:rPr>
        <w:t>9</w:t>
      </w:r>
      <w:r>
        <w:t>/L（0～1%）。</w:t>
      </w:r>
    </w:p>
    <w:p>
      <w:pPr>
        <w:adjustRightInd w:val="0"/>
        <w:snapToGrid w:val="0"/>
        <w:spacing w:line="500" w:lineRule="exact"/>
        <w:ind w:firstLine="420" w:firstLineChars="200"/>
      </w:pPr>
      <w:r>
        <w:t>淋巴细胞</w:t>
      </w:r>
      <w:r>
        <w:rPr>
          <w:rFonts w:hint="eastAsia"/>
        </w:rPr>
        <w:t>：</w:t>
      </w:r>
      <w:r>
        <w:t xml:space="preserve">   </w:t>
      </w:r>
      <w:r>
        <w:rPr>
          <w:rFonts w:hint="eastAsia"/>
        </w:rPr>
        <w:t>（</w:t>
      </w:r>
      <w:r>
        <w:t>1.1～3.2</w:t>
      </w:r>
      <w:r>
        <w:rPr>
          <w:rFonts w:hint="eastAsia"/>
        </w:rPr>
        <w:t>）</w:t>
      </w:r>
      <w:r>
        <w:t>×10</w:t>
      </w:r>
      <w:r>
        <w:rPr>
          <w:vertAlign w:val="superscript"/>
        </w:rPr>
        <w:t>9</w:t>
      </w:r>
      <w:r>
        <w:t>/L（20%～50%）。</w:t>
      </w:r>
    </w:p>
    <w:p>
      <w:pPr>
        <w:adjustRightInd w:val="0"/>
        <w:snapToGrid w:val="0"/>
        <w:spacing w:line="500" w:lineRule="exact"/>
        <w:ind w:firstLine="420" w:firstLineChars="200"/>
      </w:pPr>
      <w:r>
        <w:t xml:space="preserve">单核细胞：   </w:t>
      </w:r>
      <w:r>
        <w:rPr>
          <w:rFonts w:hint="eastAsia"/>
        </w:rPr>
        <w:t>（</w:t>
      </w:r>
      <w:r>
        <w:t>0.1～0.6</w:t>
      </w:r>
      <w:r>
        <w:rPr>
          <w:rFonts w:hint="eastAsia"/>
        </w:rPr>
        <w:t>）</w:t>
      </w:r>
      <w:r>
        <w:t>×10</w:t>
      </w:r>
      <w:r>
        <w:rPr>
          <w:vertAlign w:val="superscript"/>
        </w:rPr>
        <w:t>9</w:t>
      </w:r>
      <w:r>
        <w:t>/L（3%～10%）。</w:t>
      </w:r>
    </w:p>
    <w:p>
      <w:pPr>
        <w:adjustRightInd w:val="0"/>
        <w:snapToGrid w:val="0"/>
        <w:spacing w:line="500" w:lineRule="exact"/>
        <w:ind w:firstLine="420" w:firstLineChars="200"/>
      </w:pPr>
      <w:r>
        <w:t>中性粒细胞增多常见于急性化脓性感染、大出血、严重组织损伤、慢性粒细胞性白血病、安眠药中毒等；减少常见于某些病毒感染、再生障碍性贫血、粒细胞缺乏症等。</w:t>
      </w:r>
    </w:p>
    <w:p>
      <w:pPr>
        <w:adjustRightInd w:val="0"/>
        <w:snapToGrid w:val="0"/>
        <w:spacing w:line="500" w:lineRule="exact"/>
        <w:ind w:firstLine="420" w:firstLineChars="200"/>
      </w:pPr>
      <w:r>
        <w:t>嗜酸粒细胞增多常见于银屑病、天疱疮、湿疹、支气管哮喘、过敏、一些血液病及肿瘤，如慢性粒细胞性白血病、鼻咽癌、肺癌及宫颈癌等；减少常见于伤寒、副伤寒早期、长期使用肾上腺皮质激素后。</w:t>
      </w:r>
    </w:p>
    <w:p>
      <w:pPr>
        <w:adjustRightInd w:val="0"/>
        <w:snapToGrid w:val="0"/>
        <w:spacing w:line="500" w:lineRule="exact"/>
        <w:ind w:firstLine="420" w:firstLineChars="200"/>
      </w:pPr>
      <w:r>
        <w:t>嗜碱粒细胞增多常见于慢性粒细胞白血病伴有骨髓纤维化、慢性溶血及脾切除后；减少一般没有临床意义。</w:t>
      </w:r>
    </w:p>
    <w:p>
      <w:pPr>
        <w:adjustRightInd w:val="0"/>
        <w:snapToGrid w:val="0"/>
        <w:spacing w:line="500" w:lineRule="exact"/>
        <w:ind w:firstLine="420" w:firstLineChars="200"/>
      </w:pPr>
      <w:r>
        <w:t>淋巴细胞增多常见于传染性单核细胞增多症、结核病、疟疾、慢性淋巴细胞性白血病、百日咳、某些病毒感染等；减少常见于某些白血病或破坏过多，如长期化疗、X线照射后及免疫缺陷等。</w:t>
      </w:r>
    </w:p>
    <w:p>
      <w:pPr>
        <w:adjustRightInd w:val="0"/>
        <w:snapToGrid w:val="0"/>
        <w:spacing w:line="500" w:lineRule="exact"/>
        <w:ind w:firstLine="420" w:firstLineChars="200"/>
      </w:pPr>
      <w:r>
        <w:t>单核细胞增多常见于单核细胞性白血病、结核病活动期、伤寒、疟疾等；减少临床意义不大。</w:t>
      </w:r>
    </w:p>
    <w:p>
      <w:pPr>
        <w:adjustRightInd w:val="0"/>
        <w:snapToGrid w:val="0"/>
        <w:spacing w:line="500" w:lineRule="exact"/>
        <w:ind w:firstLine="420" w:firstLineChars="200"/>
      </w:pPr>
      <w:r>
        <w:t>6.1.5  血小板计数(PLT)</w:t>
      </w:r>
    </w:p>
    <w:p>
      <w:pPr>
        <w:adjustRightInd w:val="0"/>
        <w:snapToGrid w:val="0"/>
        <w:spacing w:line="500" w:lineRule="exact"/>
        <w:ind w:firstLine="420" w:firstLineChars="200"/>
      </w:pPr>
      <w:r>
        <w:t>【参考值】 （125～350）×l0</w:t>
      </w:r>
      <w:r>
        <w:rPr>
          <w:vertAlign w:val="superscript"/>
        </w:rPr>
        <w:t>9</w:t>
      </w:r>
      <w:r>
        <w:t>/L。</w:t>
      </w:r>
    </w:p>
    <w:p>
      <w:pPr>
        <w:adjustRightInd w:val="0"/>
        <w:snapToGrid w:val="0"/>
        <w:spacing w:line="500" w:lineRule="exact"/>
        <w:ind w:firstLine="420" w:firstLineChars="200"/>
      </w:pPr>
      <w:r>
        <w:t>血小板计数增高多见于血小板增多症、脾脏切除术后、急性感染、溶血、骨折等；减少多见于再生障碍性贫血、急性白血病、急性放射病、原发性或继发性血小板减少性紫癜、脾功能亢进、尿毒症、服用某些药物后等。</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6.2  尿常规及镜检</w:t>
      </w:r>
    </w:p>
    <w:p>
      <w:pPr>
        <w:adjustRightInd w:val="0"/>
        <w:snapToGrid w:val="0"/>
        <w:spacing w:line="500" w:lineRule="exact"/>
        <w:ind w:firstLine="420" w:firstLineChars="200"/>
      </w:pPr>
      <w:r>
        <w:t>不少肾脏病变早期就可以出现蛋白尿或者尿沉渣中有形成分，尿检异常常是肾脏或尿路疾病的第一个证据。</w:t>
      </w:r>
    </w:p>
    <w:p>
      <w:pPr>
        <w:adjustRightInd w:val="0"/>
        <w:snapToGrid w:val="0"/>
        <w:spacing w:line="500" w:lineRule="exact"/>
        <w:ind w:firstLine="420" w:firstLineChars="200"/>
      </w:pPr>
      <w:r>
        <w:t>标本要求：尿液检测应采用新鲜晨尿，阳性检出率较高，且最好留取中段尿。女性留取尿标本应避开经期或事先清洗外阴，以防止阴道分泌物混入尿液中，影响检查结果的准确性。</w:t>
      </w:r>
    </w:p>
    <w:p>
      <w:pPr>
        <w:adjustRightInd w:val="0"/>
        <w:snapToGrid w:val="0"/>
        <w:spacing w:line="500" w:lineRule="exact"/>
        <w:ind w:firstLine="420" w:firstLineChars="200"/>
      </w:pPr>
      <w:r>
        <w:t xml:space="preserve">尿常规检查采用仪器法。尿沉渣镜检采用手工法，取新鲜均匀的尿液10 </w:t>
      </w:r>
      <w:r>
        <w:rPr>
          <w:rFonts w:hint="eastAsia"/>
        </w:rPr>
        <w:t>ml</w:t>
      </w:r>
      <w:r>
        <w:t>置于离心管内，1000转/分钟，离心10分钟，弃上清，取沉渣0.2</w:t>
      </w:r>
      <w:r>
        <w:rPr>
          <w:rFonts w:hint="eastAsia"/>
        </w:rPr>
        <w:t>ml</w:t>
      </w:r>
      <w:r>
        <w:t>镜检。</w:t>
      </w:r>
    </w:p>
    <w:p>
      <w:pPr>
        <w:adjustRightInd w:val="0"/>
        <w:snapToGrid w:val="0"/>
        <w:spacing w:line="500" w:lineRule="exact"/>
        <w:ind w:firstLine="420" w:firstLineChars="200"/>
      </w:pPr>
      <w:r>
        <w:t>6.2.1  尿糖(GLU)</w:t>
      </w:r>
    </w:p>
    <w:p>
      <w:pPr>
        <w:adjustRightInd w:val="0"/>
        <w:snapToGrid w:val="0"/>
        <w:spacing w:line="500" w:lineRule="exact"/>
        <w:ind w:firstLine="420" w:firstLineChars="200"/>
      </w:pPr>
      <w:r>
        <w:t>【参考值】  阴性。</w:t>
      </w:r>
    </w:p>
    <w:p>
      <w:pPr>
        <w:adjustRightInd w:val="0"/>
        <w:snapToGrid w:val="0"/>
        <w:spacing w:line="500" w:lineRule="exact"/>
        <w:ind w:firstLine="420" w:firstLineChars="200"/>
      </w:pPr>
      <w: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adjustRightInd w:val="0"/>
        <w:snapToGrid w:val="0"/>
        <w:spacing w:line="500" w:lineRule="exact"/>
        <w:ind w:firstLine="420" w:firstLineChars="200"/>
      </w:pPr>
      <w:r>
        <w:t>6.2.2  尿蛋白(PRO)</w:t>
      </w:r>
    </w:p>
    <w:p>
      <w:pPr>
        <w:adjustRightInd w:val="0"/>
        <w:snapToGrid w:val="0"/>
        <w:spacing w:line="500" w:lineRule="exact"/>
        <w:ind w:firstLine="420" w:firstLineChars="200"/>
      </w:pPr>
      <w:r>
        <w:t>【参考值】  阴性。</w:t>
      </w:r>
    </w:p>
    <w:p>
      <w:pPr>
        <w:adjustRightInd w:val="0"/>
        <w:snapToGrid w:val="0"/>
        <w:spacing w:line="500" w:lineRule="exact"/>
        <w:ind w:firstLine="420" w:firstLineChars="200"/>
      </w:pPr>
      <w:r>
        <w:t>病理性蛋白尿特点是尿蛋白量明显增多，尿蛋白持续阳性。可见于各种急慢性肾小球肾炎、肾盂肾炎、糖尿病肾病、狼疮性肾炎、放射性肾炎及肾内其他炎性病变、多发性骨髓瘤、肾功能衰竭、肾移植术后等。</w:t>
      </w:r>
    </w:p>
    <w:p>
      <w:pPr>
        <w:adjustRightInd w:val="0"/>
        <w:snapToGrid w:val="0"/>
        <w:spacing w:line="500" w:lineRule="exact"/>
        <w:ind w:firstLine="420" w:firstLineChars="200"/>
      </w:pPr>
      <w:r>
        <w:t>生理性蛋白尿包括功能性蛋白尿和体位性蛋白尿，特点是尿蛋白量轻度增多（尿蛋白定性试验一般不超过+，定量＜0.5g/24小时），持续时间短。通常发生于剧烈运动、精神紧张、寒冷、发热、体检前一天进食过多的蛋白质及交感神经兴奋等，这种蛋白尿并不反映肾脏有实质性病变，因此不能作为肾脏疾病看待。</w:t>
      </w:r>
    </w:p>
    <w:p>
      <w:pPr>
        <w:adjustRightInd w:val="0"/>
        <w:snapToGrid w:val="0"/>
        <w:spacing w:line="500" w:lineRule="exact"/>
        <w:ind w:firstLine="420" w:firstLineChars="200"/>
      </w:pPr>
      <w:r>
        <w:t>6.2.3  尿胆红素(BIL)</w:t>
      </w:r>
    </w:p>
    <w:p>
      <w:pPr>
        <w:adjustRightInd w:val="0"/>
        <w:snapToGrid w:val="0"/>
        <w:spacing w:line="500" w:lineRule="exact"/>
        <w:ind w:firstLine="420" w:firstLineChars="200"/>
      </w:pPr>
      <w:r>
        <w:t>【参考值】  阴性。</w:t>
      </w:r>
    </w:p>
    <w:p>
      <w:pPr>
        <w:adjustRightInd w:val="0"/>
        <w:snapToGrid w:val="0"/>
        <w:spacing w:line="500" w:lineRule="exact"/>
        <w:ind w:firstLine="420" w:firstLineChars="200"/>
      </w:pPr>
      <w:r>
        <w:t>阳性可见于胆石症、胆道肿瘤、胆道蛔虫、胰头癌等引起的梗阻性黄疸和肝癌、肝硬化、急慢性肝炎、肝细胞坏死等导致的肝细胞性黄疸。实验室技术性误差也可能导致阳性。</w:t>
      </w:r>
    </w:p>
    <w:p>
      <w:pPr>
        <w:adjustRightInd w:val="0"/>
        <w:snapToGrid w:val="0"/>
        <w:spacing w:line="500" w:lineRule="exact"/>
        <w:ind w:firstLine="420" w:firstLineChars="200"/>
      </w:pPr>
      <w:r>
        <w:t>6.2.4  尿胆原(URO)</w:t>
      </w:r>
    </w:p>
    <w:p>
      <w:pPr>
        <w:adjustRightInd w:val="0"/>
        <w:snapToGrid w:val="0"/>
        <w:spacing w:line="500" w:lineRule="exact"/>
        <w:ind w:firstLine="420" w:firstLineChars="200"/>
      </w:pPr>
      <w:r>
        <w:t>【参考值】  阴性或弱阳性。</w:t>
      </w:r>
    </w:p>
    <w:p>
      <w:pPr>
        <w:adjustRightInd w:val="0"/>
        <w:snapToGrid w:val="0"/>
        <w:spacing w:line="500" w:lineRule="exact"/>
        <w:ind w:firstLine="420" w:firstLineChars="200"/>
      </w:pPr>
      <w:r>
        <w:t>阳性可见于溶血性黄疸、肝病等；阴性可见于梗阻性黄疸等。</w:t>
      </w:r>
    </w:p>
    <w:p>
      <w:pPr>
        <w:adjustRightInd w:val="0"/>
        <w:snapToGrid w:val="0"/>
        <w:spacing w:line="500" w:lineRule="exact"/>
        <w:ind w:firstLine="420" w:firstLineChars="200"/>
      </w:pPr>
      <w:r>
        <w:t>6.2.5  尿比密（SG），也称尿比重</w:t>
      </w:r>
    </w:p>
    <w:p>
      <w:pPr>
        <w:adjustRightInd w:val="0"/>
        <w:snapToGrid w:val="0"/>
        <w:spacing w:line="500" w:lineRule="exact"/>
        <w:ind w:firstLine="420" w:firstLineChars="200"/>
      </w:pPr>
      <w:r>
        <w:t>【参考值】  1.015～1.025。</w:t>
      </w:r>
    </w:p>
    <w:p>
      <w:pPr>
        <w:adjustRightInd w:val="0"/>
        <w:snapToGrid w:val="0"/>
        <w:spacing w:line="500" w:lineRule="exact"/>
        <w:ind w:firstLine="420" w:firstLineChars="200"/>
      </w:pPr>
      <w:r>
        <w:t>尿比密受年龄、饮水量和出汗的影响。尿比密的高低主要取决于肾脏的浓缩功能，故测定尿比密可作为肾功能试验之一。增高可见于急性肾炎、糖尿病、高热、呕吐、腹泻及心力衰竭等；降低可见于慢性肾炎、慢性肾盂肾炎、急慢性肾功能衰竭及尿崩症等。</w:t>
      </w:r>
    </w:p>
    <w:p>
      <w:pPr>
        <w:adjustRightInd w:val="0"/>
        <w:snapToGrid w:val="0"/>
        <w:spacing w:line="500" w:lineRule="exact"/>
        <w:ind w:firstLine="420" w:firstLineChars="200"/>
      </w:pPr>
      <w:r>
        <w:t>6.2.6  尿酸碱度（pH）</w:t>
      </w:r>
    </w:p>
    <w:p>
      <w:pPr>
        <w:adjustRightInd w:val="0"/>
        <w:snapToGrid w:val="0"/>
        <w:spacing w:line="500" w:lineRule="exact"/>
        <w:ind w:firstLine="420" w:firstLineChars="200"/>
      </w:pPr>
      <w:r>
        <w:t>【参考值】  5.0～7.0。</w:t>
      </w:r>
    </w:p>
    <w:p>
      <w:pPr>
        <w:adjustRightInd w:val="0"/>
        <w:snapToGrid w:val="0"/>
        <w:spacing w:line="500" w:lineRule="exact"/>
        <w:ind w:firstLine="420" w:firstLineChars="200"/>
      </w:pPr>
      <w:r>
        <w:t>尿pH值在很大程度上取决于饮食种类、服用的药物及疾病类型。降低可见于酸中毒、痛风、糖尿病、发热、白血病等；增高可见于碱中毒、输血后、严重呕吐、膀胱炎等。应注意室温下尿液存放时间越长，pH值越高（尿素分解产生NH</w:t>
      </w:r>
      <w:r>
        <w:rPr>
          <w:vertAlign w:val="subscript"/>
        </w:rPr>
        <w:t>4</w:t>
      </w:r>
      <w:r>
        <w:rPr>
          <w:vertAlign w:val="superscript"/>
        </w:rPr>
        <w:t>+</w:t>
      </w:r>
      <w:r>
        <w:t>之故），夏季这种现象更突出。</w:t>
      </w:r>
    </w:p>
    <w:p>
      <w:pPr>
        <w:adjustRightInd w:val="0"/>
        <w:snapToGrid w:val="0"/>
        <w:spacing w:line="500" w:lineRule="exact"/>
        <w:ind w:firstLine="420" w:firstLineChars="200"/>
      </w:pPr>
      <w:r>
        <w:t>6.2.7  尿红细胞(BLO)  主要检测镜下血尿</w:t>
      </w:r>
    </w:p>
    <w:p>
      <w:pPr>
        <w:adjustRightInd w:val="0"/>
        <w:snapToGrid w:val="0"/>
        <w:spacing w:line="500" w:lineRule="exact"/>
        <w:ind w:firstLine="420" w:firstLineChars="200"/>
      </w:pPr>
      <w:r>
        <w:t>【参考值】  显微镜法0～3个/高倍视野；仪器法阴性。</w:t>
      </w:r>
    </w:p>
    <w:p>
      <w:pPr>
        <w:adjustRightInd w:val="0"/>
        <w:snapToGrid w:val="0"/>
        <w:spacing w:line="500" w:lineRule="exact"/>
        <w:ind w:firstLine="420" w:firstLineChars="200"/>
      </w:pPr>
      <w:r>
        <w:t>离心沉淀后的尿液镜检每高倍视野红细胞3个以上，称为镜下血尿，它是泌尿系统疾病最常见的症状之一，约98%的血尿是由泌尿系统疾病引起，2%的血尿由全身性疾病或泌尿系统邻近器官病变所致。如泌尿系统疾病可见于急慢性肾炎、IgA肾病、各种间质性肾炎、泌尿系感染、泌尿系统结石、结核、肿瘤、多囊肾等；全身性疾病可见于白血病、血小板减少性紫癜、过敏性紫癜、血友病、系统性红斑狼疮等；泌尿系统邻近器官病变可见于急慢性前列腺炎、输卵管炎等。此外，女性月经期间易将经血混入尿中，导致尿红细胞增多，需注意区别。另需强调一点，判定是否为镜下血尿不能以尿潜血结果为依据，而应一律以尿镜检结果为标准。</w:t>
      </w:r>
    </w:p>
    <w:p>
      <w:pPr>
        <w:adjustRightInd w:val="0"/>
        <w:snapToGrid w:val="0"/>
        <w:spacing w:line="500" w:lineRule="exact"/>
        <w:ind w:firstLine="420" w:firstLineChars="200"/>
      </w:pPr>
      <w:r>
        <w:t>6.2.8  尿白细胞(LEU)  主要检测镜下脓尿</w:t>
      </w:r>
    </w:p>
    <w:p>
      <w:pPr>
        <w:adjustRightInd w:val="0"/>
        <w:snapToGrid w:val="0"/>
        <w:spacing w:line="500" w:lineRule="exact"/>
        <w:ind w:firstLine="420" w:firstLineChars="200"/>
      </w:pPr>
      <w:r>
        <w:t>【参考值】  显微镜法5个以下/高倍视野；仪器法阴性。</w:t>
      </w:r>
    </w:p>
    <w:p>
      <w:pPr>
        <w:adjustRightInd w:val="0"/>
        <w:snapToGrid w:val="0"/>
        <w:spacing w:line="500" w:lineRule="exact"/>
        <w:ind w:firstLine="420" w:firstLineChars="200"/>
      </w:pPr>
      <w:r>
        <w:t>离心沉淀后的尿液镜检每高倍视野白细胞超过5个，称为镜下脓尿，常见于泌尿系统有化脓性病变，如肾盂肾炎、膀胱炎、尿道炎、尿路结核等。女性可由外阴或阴道分泌物污染等导致尿白细胞增多，需注意区别。</w:t>
      </w:r>
    </w:p>
    <w:p>
      <w:pPr>
        <w:adjustRightInd w:val="0"/>
        <w:snapToGrid w:val="0"/>
        <w:spacing w:line="500" w:lineRule="exact"/>
        <w:ind w:firstLine="420" w:firstLineChars="200"/>
      </w:pPr>
      <w:r>
        <w:t>同样需强调一点，判定是否为镜下脓尿不能以尿常规的结果为依据，而应一律以尿镜检结果为标准。</w:t>
      </w:r>
    </w:p>
    <w:p>
      <w:pPr>
        <w:adjustRightInd w:val="0"/>
        <w:snapToGrid w:val="0"/>
        <w:spacing w:line="500" w:lineRule="exact"/>
        <w:ind w:firstLine="420" w:firstLineChars="200"/>
      </w:pPr>
      <w:r>
        <w:t>对脓尿的处理：在排除慢性肾盂肾炎（超声排除肾盂形态学改变）</w:t>
      </w:r>
      <w:r>
        <w:rPr>
          <w:rFonts w:hint="eastAsia"/>
        </w:rPr>
        <w:t>、特异性尿道炎（主要为淋病）</w:t>
      </w:r>
      <w:r>
        <w:t>的情况下，可作出合格结论。</w:t>
      </w:r>
    </w:p>
    <w:p>
      <w:pPr>
        <w:adjustRightInd w:val="0"/>
        <w:snapToGrid w:val="0"/>
        <w:spacing w:line="500" w:lineRule="exact"/>
        <w:ind w:firstLine="420" w:firstLineChars="200"/>
      </w:pPr>
      <w:r>
        <w:t>6.2.9  管型</w:t>
      </w:r>
    </w:p>
    <w:p>
      <w:pPr>
        <w:adjustRightInd w:val="0"/>
        <w:snapToGrid w:val="0"/>
        <w:spacing w:line="500" w:lineRule="exact"/>
        <w:ind w:firstLine="420" w:firstLineChars="200"/>
      </w:pPr>
      <w:r>
        <w:t>【参考值】  无或偶见透明管型，无其他管型。</w:t>
      </w:r>
    </w:p>
    <w:p>
      <w:pPr>
        <w:adjustRightInd w:val="0"/>
        <w:snapToGrid w:val="0"/>
        <w:spacing w:line="500" w:lineRule="exact"/>
        <w:ind w:firstLine="420" w:firstLineChars="200"/>
      </w:pPr>
      <w:r>
        <w:t>出现异常管型是肾脏病的一个信号，常见于严重的肾脏损害，对诊断具有重要意义。</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6.3  血液生化检查</w:t>
      </w:r>
    </w:p>
    <w:p>
      <w:pPr>
        <w:adjustRightInd w:val="0"/>
        <w:snapToGrid w:val="0"/>
        <w:spacing w:line="500" w:lineRule="exact"/>
        <w:ind w:firstLine="420" w:firstLineChars="200"/>
      </w:pPr>
      <w:r>
        <w:t>6.3.1  血糖(GLU)  糖尿病诊断指标。采用葡萄糖氧化酶法，用全自动或半自动生化分析仪，采血后应尽快检测。</w:t>
      </w:r>
    </w:p>
    <w:p>
      <w:pPr>
        <w:adjustRightInd w:val="0"/>
        <w:snapToGrid w:val="0"/>
        <w:spacing w:line="500" w:lineRule="exact"/>
        <w:ind w:firstLine="420" w:firstLineChars="200"/>
      </w:pPr>
      <w:r>
        <w:t xml:space="preserve">【参考值】  3.9～6.1 </w:t>
      </w:r>
      <w:r>
        <w:rPr>
          <w:rFonts w:hint="eastAsia"/>
          <w:szCs w:val="21"/>
        </w:rPr>
        <w:t>mm</w:t>
      </w:r>
      <w:r>
        <w:rPr>
          <w:szCs w:val="21"/>
        </w:rPr>
        <w:t>ol/L。</w:t>
      </w:r>
    </w:p>
    <w:p>
      <w:pPr>
        <w:adjustRightInd w:val="0"/>
        <w:snapToGrid w:val="0"/>
        <w:spacing w:line="500" w:lineRule="exact"/>
        <w:ind w:firstLine="420" w:firstLineChars="200"/>
      </w:pPr>
      <w:r>
        <w:t xml:space="preserve">空腹超过8小时采周围静脉血，如血糖浓度≥7.0 </w:t>
      </w:r>
      <w:r>
        <w:rPr>
          <w:rFonts w:hint="eastAsia"/>
        </w:rPr>
        <w:t>mm</w:t>
      </w:r>
      <w:r>
        <w:t xml:space="preserve">ol/L，择日复检仍≥7.0 </w:t>
      </w:r>
      <w:r>
        <w:rPr>
          <w:rFonts w:hint="eastAsia"/>
        </w:rPr>
        <w:t>mm</w:t>
      </w:r>
      <w:r>
        <w:t xml:space="preserve">ol/L，可以诊断糖尿病；或空腹血糖浓度介于＞6.1～6.9 </w:t>
      </w:r>
      <w:r>
        <w:rPr>
          <w:rFonts w:hint="eastAsia"/>
        </w:rPr>
        <w:t>mm</w:t>
      </w:r>
      <w:r>
        <w:t xml:space="preserve">ol/L之间，应进行口服葡萄糖耐量试验（OGTT）进一步确诊，若OGTT 2小时的血糖浓度≥11.1 </w:t>
      </w:r>
      <w:r>
        <w:rPr>
          <w:rFonts w:hint="eastAsia"/>
        </w:rPr>
        <w:t>mm</w:t>
      </w:r>
      <w:r>
        <w:t>ol/L，也可以诊断为糖尿病。</w:t>
      </w:r>
    </w:p>
    <w:p>
      <w:pPr>
        <w:adjustRightInd w:val="0"/>
        <w:snapToGrid w:val="0"/>
        <w:spacing w:line="500" w:lineRule="exact"/>
        <w:ind w:firstLine="420" w:firstLineChars="200"/>
      </w:pPr>
      <w:r>
        <w:t>6.3.2  丙氨酸氨基转移酶（ALT）采用酶法，用全自动或半自动生化分析仪检测，一般认为血清ALT超过参考上限值2倍，说明肝细胞有炎症、坏死和损害。ALT增高有助于对病毒性肝炎、自身免疫性肝炎等肝胆系统疾病进行早期诊断，并对疾病的程度、治疗疗效及预后判断有重要的临床意义。</w:t>
      </w:r>
    </w:p>
    <w:p>
      <w:pPr>
        <w:adjustRightInd w:val="0"/>
        <w:snapToGrid w:val="0"/>
        <w:spacing w:line="500" w:lineRule="exact"/>
        <w:ind w:firstLine="435"/>
      </w:pPr>
      <w:r>
        <w:t>【参考值】  男：9-50 U/L（≤50 U/L），女：7-40 U/L（≤40 U/L）。</w:t>
      </w:r>
    </w:p>
    <w:p>
      <w:pPr>
        <w:adjustRightInd w:val="0"/>
        <w:snapToGrid w:val="0"/>
        <w:spacing w:line="500" w:lineRule="exact"/>
        <w:ind w:firstLine="420" w:firstLineChars="200"/>
      </w:pPr>
      <w:r>
        <w:t>6.3.3  天冬氨酸氨基转移酶（AST） 如采用酶法，临床意义同ALT。</w:t>
      </w:r>
    </w:p>
    <w:p>
      <w:pPr>
        <w:adjustRightInd w:val="0"/>
        <w:snapToGrid w:val="0"/>
        <w:spacing w:line="500" w:lineRule="exact"/>
        <w:ind w:firstLine="420" w:firstLineChars="200"/>
      </w:pPr>
      <w:r>
        <w:t>【参考值】  男：15-40 U/L（≤40 U/L），女：13-35 U/L（≤ 35 U/L）。</w:t>
      </w:r>
    </w:p>
    <w:p>
      <w:pPr>
        <w:adjustRightInd w:val="0"/>
        <w:snapToGrid w:val="0"/>
        <w:spacing w:line="500" w:lineRule="exact"/>
        <w:ind w:firstLine="420" w:firstLineChars="200"/>
      </w:pPr>
      <w: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性肝炎、肝硬化等）和一些肝外疾病造成肝细胞损害时，ALT和AST水平均可升高。</w:t>
      </w:r>
    </w:p>
    <w:p>
      <w:pPr>
        <w:adjustRightInd w:val="0"/>
        <w:snapToGrid w:val="0"/>
        <w:spacing w:line="500" w:lineRule="exact"/>
        <w:ind w:firstLine="420" w:firstLineChars="200"/>
      </w:pPr>
      <w:r>
        <w:t>ALT广泛存在于机体组织细胞内，但以肝脏细胞含量最多。在肝细胞中ALT则主要存在于肝细胞质中，少量存在于线粒体内。AST主要分布于心肌，其次为肝脏、骨骼肌和肾脏等组织中。在肝细胞中AST主要存在于线粒体内，只有少量存在于胞质中。正常时血清转氨酶含量很低，当肝细胞等损伤时，它们的血清浓度会发生变化。在轻、中度肝损伤时，由于肝细胞通透性增高，胞质内的AST和ALT释放入血，此时以ALT升高为明显，ALT升高远大于AST升高。一般认为血清ALT超过参考值上限2倍，说明肝细胞有炎症、坏死和肝脏损害；当严重肝细胞损伤时，肝细胞线粒体受损，可导致线粒体内的酶被释放入血，此时以AST升高更明显，血清中AST／ALT比值增高。</w:t>
      </w:r>
    </w:p>
    <w:p>
      <w:pPr>
        <w:adjustRightInd w:val="0"/>
        <w:snapToGrid w:val="0"/>
        <w:spacing w:line="500" w:lineRule="exact"/>
        <w:ind w:firstLine="420" w:firstLineChars="200"/>
      </w:pPr>
      <w:r>
        <w:t>除肝脏外，其他组织如心脏、脑、肾、肌肉也都含有ALT和AS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adjustRightInd w:val="0"/>
        <w:snapToGrid w:val="0"/>
        <w:spacing w:line="500" w:lineRule="exact"/>
        <w:ind w:firstLine="420" w:firstLineChars="200"/>
      </w:pPr>
      <w:r>
        <w:t>6.3.4  血尿素(BU)  血尿素是机体蛋白质代谢的产物，测定血尿素的目的在于判断肾脏对蛋白质代谢产物的排泄能力，故血尿素的数值，可以作为判断肾脏功能受损到一定程度的实验室指标。但血尿素易受饮食、尿量等因素影响，血尿素检测采用脲酶法。</w:t>
      </w:r>
    </w:p>
    <w:p>
      <w:pPr>
        <w:adjustRightInd w:val="0"/>
        <w:snapToGrid w:val="0"/>
        <w:spacing w:line="500" w:lineRule="exact"/>
        <w:ind w:firstLine="420"/>
      </w:pPr>
      <w:r>
        <w:t>【参考值】  2.9～7.5</w:t>
      </w:r>
      <w:r>
        <w:rPr>
          <w:szCs w:val="21"/>
        </w:rPr>
        <w:t xml:space="preserve"> </w:t>
      </w:r>
      <w:r>
        <w:rPr>
          <w:rFonts w:hint="eastAsia"/>
          <w:szCs w:val="21"/>
        </w:rPr>
        <w:t>mm</w:t>
      </w:r>
      <w:r>
        <w:rPr>
          <w:szCs w:val="21"/>
        </w:rPr>
        <w:t>ol/</w:t>
      </w:r>
      <w:r>
        <w:t xml:space="preserve"> L。</w:t>
      </w:r>
    </w:p>
    <w:p>
      <w:pPr>
        <w:adjustRightInd w:val="0"/>
        <w:snapToGrid w:val="0"/>
        <w:spacing w:line="500" w:lineRule="exact"/>
        <w:ind w:firstLine="420" w:firstLineChars="200"/>
      </w:pPr>
      <w:r>
        <w:t>6.3.5  血肌酐(CR)</w:t>
      </w:r>
      <w:r>
        <w:rPr>
          <w:lang w:val="en-GB"/>
        </w:rPr>
        <w:t xml:space="preserve">  </w:t>
      </w:r>
      <w:r>
        <w:t>肌酐是人体肌肉代谢的产物，不易受饮食和尿量因素影响，能更灵敏地反映肾功能，是诊断肾功能衰竭的重要指标，其水平往往与肾功能的损伤程度成正比。血肌酐检测采用苦味酸法或酶法。</w:t>
      </w:r>
    </w:p>
    <w:p>
      <w:pPr>
        <w:adjustRightInd w:val="0"/>
        <w:snapToGrid w:val="0"/>
        <w:spacing w:line="500" w:lineRule="exact"/>
        <w:ind w:firstLine="420" w:firstLineChars="200"/>
      </w:pPr>
      <w:r>
        <w:t>【参考值】  苦味酸法：男性44～133 μ</w:t>
      </w:r>
      <w:r>
        <w:rPr>
          <w:rFonts w:hint="eastAsia"/>
        </w:rPr>
        <w:t>m</w:t>
      </w:r>
      <w:r>
        <w:t>ol/L，女性70～106 μ</w:t>
      </w:r>
      <w:r>
        <w:rPr>
          <w:rFonts w:hint="eastAsia"/>
        </w:rPr>
        <w:t>m</w:t>
      </w:r>
      <w:r>
        <w:t>ol/L。酶法；男性53～97 μ</w:t>
      </w:r>
      <w:r>
        <w:rPr>
          <w:rFonts w:hint="eastAsia"/>
        </w:rPr>
        <w:t>m</w:t>
      </w:r>
      <w:r>
        <w:t>ol/L，女</w:t>
      </w:r>
      <w:r>
        <w:rPr>
          <w:lang w:val="en-GB"/>
        </w:rPr>
        <w:t>性</w:t>
      </w:r>
      <w:r>
        <w:t>44～80 μ</w:t>
      </w:r>
      <w:r>
        <w:rPr>
          <w:rFonts w:hint="eastAsia"/>
        </w:rPr>
        <w:t>m</w:t>
      </w:r>
      <w:r>
        <w:t>ol/L。</w:t>
      </w:r>
    </w:p>
    <w:p>
      <w:pPr>
        <w:adjustRightInd w:val="0"/>
        <w:snapToGrid w:val="0"/>
        <w:spacing w:line="500" w:lineRule="exact"/>
        <w:ind w:firstLine="420" w:firstLineChars="200"/>
      </w:pPr>
      <w:r>
        <w:t>当血尿素和血肌酐都用“</w:t>
      </w:r>
      <w:r>
        <w:rPr>
          <w:rFonts w:hint="eastAsia"/>
        </w:rPr>
        <w:t>mm</w:t>
      </w:r>
      <w:r>
        <w:t>ol/ L”为单位时，尿素／肌酐比值的参考值为25～40。当比值&lt;25时，考虑蛋白质的摄入不足及肾小管急性坏死；&gt;40时，考虑肾前性原因所致。</w:t>
      </w:r>
    </w:p>
    <w:p>
      <w:pPr>
        <w:adjustRightInd w:val="0"/>
        <w:snapToGrid w:val="0"/>
        <w:spacing w:line="500" w:lineRule="exact"/>
        <w:ind w:firstLine="420" w:firstLineChars="200"/>
      </w:pPr>
      <w:r>
        <w:t>由于血尿素、肌酐的测定值容易受溶血、胆红素以及药物等因素影响，所以同时升高一般有诊断意义，肾脏实质性病变时血尿素升高的程度较血肌酐更明显。需要注意的是，肌酐并不是判断肾功能损害的早期金标准，必要时需到医院肾内科做进一步详查，以排除或诊断肾脏疾病，并作出体检结论。</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6.4  血清免疫学检查</w:t>
      </w:r>
    </w:p>
    <w:p>
      <w:pPr>
        <w:adjustRightInd w:val="0"/>
        <w:snapToGrid w:val="0"/>
        <w:spacing w:line="500" w:lineRule="exact"/>
        <w:ind w:firstLine="420" w:firstLineChars="200"/>
        <w:rPr>
          <w:bCs/>
        </w:rPr>
      </w:pPr>
      <w:r>
        <w:t>6.4.1  梅毒螺旋体血凝试验(TPHA)  系用梅毒螺旋体提取物致敏的红细胞微量血凝析技术检测抗梅毒螺旋体IgG抗体。该试验的敏感性和特异性均可达99％。该试验在滴度较低（1:20）时容易受血清中存在的嗜异性抗体的干扰，必须进行其他方法的试验来确证。需要注意的是，单纯TPHA阳性只能说明受检者以前曾经感染过梅毒，不能确定是现症患者，需进一步做RPR试验，</w:t>
      </w:r>
      <w:r>
        <w:rPr>
          <w:bCs/>
        </w:rPr>
        <w:t>若检查结果为</w:t>
      </w:r>
      <w:r>
        <w:rPr>
          <w:rFonts w:hint="eastAsia"/>
          <w:bCs/>
        </w:rPr>
        <w:t>单纯</w:t>
      </w:r>
      <w:r>
        <w:rPr>
          <w:bCs/>
        </w:rPr>
        <w:t>TPHA</w:t>
      </w:r>
      <w:r>
        <w:rPr>
          <w:rFonts w:hint="eastAsia"/>
          <w:bCs/>
        </w:rPr>
        <w:t>阳性</w:t>
      </w:r>
      <w:r>
        <w:rPr>
          <w:bCs/>
        </w:rPr>
        <w:t>，合格；两者均阳性者视为现症患者，不合格。</w:t>
      </w:r>
    </w:p>
    <w:p>
      <w:pPr>
        <w:adjustRightInd w:val="0"/>
        <w:snapToGrid w:val="0"/>
        <w:spacing w:line="500" w:lineRule="exact"/>
        <w:ind w:firstLine="420" w:firstLineChars="200"/>
      </w:pPr>
      <w:r>
        <w:t>【参考值】  阴性。</w:t>
      </w:r>
    </w:p>
    <w:p>
      <w:pPr>
        <w:adjustRightInd w:val="0"/>
        <w:snapToGrid w:val="0"/>
        <w:spacing w:line="500" w:lineRule="exact"/>
      </w:pPr>
      <w:r>
        <w:rPr>
          <w:rFonts w:hint="eastAsia"/>
        </w:rPr>
        <w:t xml:space="preserve">    </w:t>
      </w:r>
      <w:r>
        <w:t>6.4.2  艾滋病病毒抗体检测(抗HIV)</w:t>
      </w:r>
    </w:p>
    <w:p>
      <w:pPr>
        <w:adjustRightInd w:val="0"/>
        <w:snapToGrid w:val="0"/>
        <w:spacing w:line="500" w:lineRule="exact"/>
        <w:ind w:firstLine="420" w:firstLineChars="200"/>
      </w:pPr>
      <w:r>
        <w:t>艾滋病的病原体是人类免疫缺陷病毒（HIV）。人体感染HIV后，大多数于感染后4～12周可从血液中检测出HIV抗体（抗HIV），最长可于感染后数月出现抗体，终生存在。抗HIV并非保护性抗体，目前部分试剂可同时检测HIV抗体和P24抗原。体检中可作为排除HIV感染的筛检。</w:t>
      </w:r>
    </w:p>
    <w:p>
      <w:pPr>
        <w:adjustRightInd w:val="0"/>
        <w:snapToGrid w:val="0"/>
        <w:spacing w:line="500" w:lineRule="exact"/>
        <w:ind w:firstLine="420" w:firstLineChars="200"/>
      </w:pPr>
      <w:r>
        <w:t>【参考值】  阴性。</w:t>
      </w:r>
    </w:p>
    <w:p>
      <w:pPr>
        <w:adjustRightInd w:val="0"/>
        <w:snapToGrid w:val="0"/>
        <w:spacing w:line="500" w:lineRule="exact"/>
        <w:ind w:firstLine="420" w:firstLineChars="200"/>
      </w:pPr>
      <w:r>
        <w:t>对HIV初筛试验阳性者，要到具有确认资格的实验室或者疾病预防控制中心进行确认试验，以排除假阳性结果。</w:t>
      </w:r>
    </w:p>
    <w:p>
      <w:pPr>
        <w:pStyle w:val="3"/>
        <w:adjustRightInd w:val="0"/>
        <w:snapToGrid w:val="0"/>
        <w:spacing w:before="0" w:after="0" w:line="500" w:lineRule="exact"/>
        <w:rPr>
          <w:rFonts w:ascii="Times New Roman" w:hAnsi="Times New Roman"/>
          <w:sz w:val="21"/>
          <w:szCs w:val="21"/>
        </w:rPr>
      </w:pPr>
      <w:bookmarkStart w:id="13" w:name="_Toc391888321"/>
      <w:r>
        <w:rPr>
          <w:rFonts w:ascii="Times New Roman" w:hAnsi="Times New Roman"/>
          <w:sz w:val="21"/>
          <w:szCs w:val="21"/>
        </w:rPr>
        <w:t>7  体检结论及建议</w:t>
      </w:r>
      <w:bookmarkEnd w:id="13"/>
    </w:p>
    <w:p>
      <w:pPr>
        <w:adjustRightInd w:val="0"/>
        <w:snapToGrid w:val="0"/>
        <w:spacing w:line="500" w:lineRule="exact"/>
        <w:ind w:firstLine="420" w:firstLineChars="200"/>
      </w:pPr>
      <w:r>
        <w:t>7.1  由主检医师详细审查各科检查结果（包括各种辅助检查）及各科医师的意见后，综合判定，如实作出明确的体检结论，亲笔签名</w:t>
      </w:r>
      <w:r>
        <w:rPr>
          <w:color w:val="000000"/>
          <w:szCs w:val="19"/>
        </w:rPr>
        <w:t>后加盖医疗机构公章</w:t>
      </w:r>
      <w:r>
        <w:t>。体检结论要抓住重点、全面衡量、严格把关，对不合格者应注明不合格的具体原因，并对受检者保密。</w:t>
      </w:r>
    </w:p>
    <w:p>
      <w:pPr>
        <w:adjustRightInd w:val="0"/>
        <w:snapToGrid w:val="0"/>
        <w:spacing w:line="500" w:lineRule="exact"/>
        <w:ind w:firstLine="420" w:firstLineChars="200"/>
        <w:rPr>
          <w:rFonts w:hint="eastAsia" w:ascii="宋体" w:hAnsi="宋体" w:cs="宋体"/>
        </w:rPr>
      </w:pPr>
      <w:r>
        <w:t xml:space="preserve">7.2 </w:t>
      </w:r>
      <w:r>
        <w:rPr>
          <w:rFonts w:hint="eastAsia" w:ascii="宋体" w:hAnsi="宋体" w:cs="宋体"/>
        </w:rPr>
        <w:t xml:space="preserve"> 体检结论主要分以下2种情况：</w:t>
      </w:r>
    </w:p>
    <w:p>
      <w:pPr>
        <w:adjustRightInd w:val="0"/>
        <w:snapToGrid w:val="0"/>
        <w:spacing w:line="500" w:lineRule="exact"/>
        <w:ind w:firstLine="420" w:firstLineChars="200"/>
        <w:rPr>
          <w:rFonts w:hint="eastAsia" w:ascii="宋体" w:hAnsi="宋体" w:cs="宋体"/>
        </w:rPr>
      </w:pPr>
      <w:r>
        <w:rPr>
          <w:rFonts w:hint="eastAsia" w:ascii="宋体" w:hAnsi="宋体" w:cs="宋体"/>
        </w:rPr>
        <w:t>1）体检合格：表示受检者的身体状况符合《公务员录用体检通用标准》的要求。</w:t>
      </w:r>
    </w:p>
    <w:p>
      <w:pPr>
        <w:adjustRightInd w:val="0"/>
        <w:snapToGrid w:val="0"/>
        <w:spacing w:line="500" w:lineRule="exact"/>
        <w:ind w:firstLine="420" w:firstLineChars="200"/>
        <w:rPr>
          <w:rFonts w:hint="eastAsia" w:ascii="宋体" w:hAnsi="宋体" w:cs="宋体"/>
        </w:rPr>
      </w:pPr>
      <w:r>
        <w:rPr>
          <w:rFonts w:hint="eastAsia" w:ascii="宋体" w:hAnsi="宋体" w:cs="宋体"/>
        </w:rPr>
        <w:t>2）体检不合格：表示受检者患有某种疾病，按《公务员录用体检通用标准》中的某一或某些条款，不合格。</w:t>
      </w:r>
    </w:p>
    <w:p>
      <w:pPr>
        <w:adjustRightInd w:val="0"/>
        <w:snapToGrid w:val="0"/>
        <w:spacing w:line="500" w:lineRule="exact"/>
        <w:ind w:firstLine="420" w:firstLineChars="200"/>
        <w:rPr>
          <w:rFonts w:hint="eastAsia" w:ascii="宋体" w:hAnsi="宋体" w:cs="宋体"/>
        </w:rPr>
      </w:pPr>
      <w:r>
        <w:rPr>
          <w:rFonts w:hint="eastAsia" w:ascii="宋体" w:hAnsi="宋体" w:cs="宋体"/>
        </w:rPr>
        <w:t>受检者存在空项或需要进一步检查的，可暂时不做结论，待明确诊断后再做出是否合格结论。其中，对于难以确诊的疾病，体检医疗机构应组织专家做进一步的检查或会诊，直至作出体检结论为止。</w:t>
      </w:r>
    </w:p>
    <w:p>
      <w:pPr>
        <w:pStyle w:val="3"/>
        <w:adjustRightInd w:val="0"/>
        <w:snapToGrid w:val="0"/>
        <w:spacing w:before="0" w:after="0" w:line="500" w:lineRule="exact"/>
        <w:rPr>
          <w:rFonts w:ascii="Times New Roman" w:hAnsi="Times New Roman"/>
          <w:sz w:val="21"/>
          <w:szCs w:val="21"/>
        </w:rPr>
      </w:pPr>
      <w:bookmarkStart w:id="14" w:name="_Toc391888322"/>
      <w:r>
        <w:rPr>
          <w:rFonts w:ascii="Times New Roman" w:hAnsi="Times New Roman"/>
          <w:sz w:val="21"/>
          <w:szCs w:val="21"/>
        </w:rPr>
        <w:t>8  关于体检表填写说明</w:t>
      </w:r>
      <w:bookmarkEnd w:id="14"/>
    </w:p>
    <w:p>
      <w:pPr>
        <w:adjustRightInd w:val="0"/>
        <w:snapToGrid w:val="0"/>
        <w:spacing w:line="500" w:lineRule="exact"/>
        <w:ind w:firstLine="420" w:firstLineChars="200"/>
      </w:pPr>
      <w:r>
        <w:t>8.1  一律使用《公务员录用体检表》格式，表格样式详见附录</w:t>
      </w:r>
      <w:r>
        <w:rPr>
          <w:rFonts w:hint="eastAsia"/>
        </w:rPr>
        <w:t>D</w:t>
      </w:r>
      <w:r>
        <w:t>。封面体检编号由各招录机关自行确定。</w:t>
      </w:r>
    </w:p>
    <w:p>
      <w:pPr>
        <w:adjustRightInd w:val="0"/>
        <w:snapToGrid w:val="0"/>
        <w:spacing w:line="500" w:lineRule="exact"/>
        <w:ind w:firstLine="420" w:firstLineChars="200"/>
      </w:pPr>
      <w:r>
        <w:t>8.2  体检表第2页病史调查部分须由受检者本人如实、逐项填写，并在备注栏中填写需要说明的问题。对于隐瞒重大病史影响体检结果者，后果自负。</w:t>
      </w:r>
    </w:p>
    <w:p>
      <w:pPr>
        <w:adjustRightInd w:val="0"/>
        <w:snapToGrid w:val="0"/>
        <w:spacing w:line="500" w:lineRule="exact"/>
        <w:ind w:firstLine="420" w:firstLineChars="200"/>
      </w:pPr>
      <w:r>
        <w:t>8.3  《公务员录用体检表》各科检查栏，由各科参检医务人员按表中内容，对受检者的身体情况逐科、逐项检查后填写，做到描述规范具体，记录</w:t>
      </w:r>
      <w:r>
        <w:rPr>
          <w:rFonts w:hint="eastAsia"/>
        </w:rPr>
        <w:t>准</w:t>
      </w:r>
      <w:r>
        <w:t>确。</w:t>
      </w:r>
    </w:p>
    <w:p>
      <w:pPr>
        <w:adjustRightInd w:val="0"/>
        <w:snapToGrid w:val="0"/>
        <w:spacing w:line="500" w:lineRule="exact"/>
        <w:ind w:firstLine="420" w:firstLineChars="200"/>
      </w:pPr>
      <w:r>
        <w:t>8.4  体检结果不得随意涂改。如果医师填写失误需要更正，则应在更正结果旁签本人全名并加盖公章，否则视为无效。</w:t>
      </w:r>
    </w:p>
    <w:p>
      <w:pPr>
        <w:adjustRightInd w:val="0"/>
        <w:snapToGrid w:val="0"/>
        <w:spacing w:line="500" w:lineRule="exact"/>
        <w:ind w:firstLine="420" w:firstLineChars="200"/>
      </w:pPr>
      <w:r>
        <w:t>8.5  凡标有医师签名的地方，均应由检查者亲笔签名，不得用本人印章代替。</w:t>
      </w:r>
    </w:p>
    <w:p>
      <w:pPr>
        <w:adjustRightInd w:val="0"/>
        <w:snapToGrid w:val="0"/>
        <w:spacing w:line="500" w:lineRule="exact"/>
        <w:ind w:firstLine="420" w:firstLineChars="200"/>
      </w:pPr>
      <w:r>
        <w:t>8.6  各科医师在本科室检查完毕后，应结合体检标准在建议栏中作出合格与否的结论。对需要进一步检查方能作出判断及体检结论者，应提出相关检查建议；合格者如存在某些阳性体征或异常时，只记录与体检标准相关的阳性体征或异常；不合格者必须经主检医师审定。</w:t>
      </w:r>
    </w:p>
    <w:p>
      <w:pPr>
        <w:adjustRightInd w:val="0"/>
        <w:snapToGrid w:val="0"/>
        <w:spacing w:line="500" w:lineRule="exact"/>
        <w:ind w:firstLine="420" w:firstLineChars="200"/>
      </w:pPr>
      <w:r>
        <w:t>8.7  各项辅助检查报告单均应附于《公务员录用体检表》中。</w:t>
      </w:r>
    </w:p>
    <w:p>
      <w:pPr>
        <w:adjustRightInd w:val="0"/>
        <w:snapToGrid w:val="0"/>
        <w:spacing w:line="500" w:lineRule="exact"/>
        <w:ind w:firstLine="420" w:firstLineChars="200"/>
      </w:pPr>
      <w:r>
        <w:t>8.8  严禁将《公务员录用体检表》另作他用。</w:t>
      </w:r>
    </w:p>
    <w:p>
      <w:pPr>
        <w:adjustRightInd w:val="0"/>
        <w:snapToGrid w:val="0"/>
        <w:spacing w:line="500" w:lineRule="exact"/>
        <w:ind w:firstLine="420" w:firstLineChars="200"/>
      </w:pPr>
      <w:r>
        <w:t>8.9  该手册中有关数字值规定的表述方法：凡用“超过”、“大于（＞）”、“小于（＜）”、“低于”、“高于”词表述的，不含该数字本身；凡用：“以上”、“以下”词表述的，含该数字本身。</w:t>
      </w:r>
    </w:p>
    <w:p>
      <w:pPr>
        <w:adjustRightInd w:val="0"/>
        <w:snapToGrid w:val="0"/>
        <w:spacing w:line="500" w:lineRule="exact"/>
        <w:ind w:firstLine="420" w:firstLineChars="200"/>
        <w:rPr>
          <w:rFonts w:hint="eastAsia" w:ascii="楷体" w:hAnsi="楷体" w:eastAsia="楷体" w:cs="楷体"/>
        </w:rPr>
      </w:pPr>
    </w:p>
    <w:p>
      <w:pPr>
        <w:pStyle w:val="2"/>
        <w:adjustRightInd w:val="0"/>
        <w:snapToGrid w:val="0"/>
        <w:spacing w:before="0" w:after="0" w:line="500" w:lineRule="exact"/>
        <w:jc w:val="center"/>
        <w:rPr>
          <w:sz w:val="32"/>
          <w:szCs w:val="32"/>
        </w:rPr>
      </w:pPr>
      <w:bookmarkStart w:id="15" w:name="_Toc391888323"/>
      <w:r>
        <w:rPr>
          <w:sz w:val="32"/>
          <w:szCs w:val="32"/>
        </w:rPr>
        <w:br w:type="page"/>
      </w:r>
      <w:r>
        <w:rPr>
          <w:sz w:val="32"/>
          <w:szCs w:val="32"/>
        </w:rPr>
        <w:t>第2篇  《公务员录用体检通用标准》实施细则</w:t>
      </w:r>
      <w:bookmarkEnd w:id="15"/>
    </w:p>
    <w:p>
      <w:pPr>
        <w:adjustRightInd w:val="0"/>
        <w:snapToGrid w:val="0"/>
        <w:spacing w:line="500" w:lineRule="exact"/>
      </w:pPr>
    </w:p>
    <w:p>
      <w:pPr>
        <w:pStyle w:val="6"/>
        <w:adjustRightInd w:val="0"/>
        <w:snapToGrid w:val="0"/>
        <w:spacing w:line="500" w:lineRule="exact"/>
      </w:pPr>
      <w: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正确掌握《标准》并作出判断及结论，避免对《标准》中的条款产生不同理解，特就《标准》中的条款逐条予以解释说明。</w:t>
      </w:r>
    </w:p>
    <w:p>
      <w:pPr>
        <w:pStyle w:val="3"/>
        <w:adjustRightInd w:val="0"/>
        <w:snapToGrid w:val="0"/>
        <w:spacing w:before="0" w:after="0" w:line="500" w:lineRule="exact"/>
        <w:rPr>
          <w:rFonts w:ascii="Times New Roman" w:hAnsi="Times New Roman"/>
          <w:sz w:val="21"/>
          <w:szCs w:val="21"/>
        </w:rPr>
      </w:pPr>
      <w:bookmarkStart w:id="16" w:name="_Toc391888324"/>
      <w:r>
        <w:rPr>
          <w:rFonts w:hint="eastAsia" w:ascii="Times New Roman" w:hAnsi="Times New Roman"/>
          <w:sz w:val="21"/>
          <w:szCs w:val="21"/>
        </w:rPr>
        <w:t xml:space="preserve">    </w:t>
      </w:r>
      <w:r>
        <w:rPr>
          <w:rFonts w:hint="eastAsia" w:ascii="黑体" w:hAnsi="黑体" w:eastAsia="黑体" w:cs="黑体"/>
          <w:sz w:val="21"/>
          <w:szCs w:val="21"/>
        </w:rPr>
        <w:t>1  关于器质性心脏病</w:t>
      </w:r>
      <w:bookmarkEnd w:id="16"/>
    </w:p>
    <w:p>
      <w:pPr>
        <w:adjustRightInd w:val="0"/>
        <w:snapToGrid w:val="0"/>
        <w:spacing w:line="500" w:lineRule="exact"/>
        <w:ind w:firstLine="420"/>
        <w:rPr>
          <w:rFonts w:eastAsia="楷体_GB2312"/>
          <w:b/>
          <w:bCs/>
          <w:szCs w:val="21"/>
        </w:rPr>
      </w:pPr>
      <w:r>
        <w:rPr>
          <w:rFonts w:eastAsia="楷体_GB2312"/>
          <w:b/>
          <w:bCs/>
          <w:szCs w:val="21"/>
        </w:rPr>
        <w:t>第一条  风湿性心脏病、心肌病、冠心病、先天性心脏病等器质性心脏病，不合格。先天性心脏病不需手术者或经手术治愈者，合格。</w:t>
      </w:r>
    </w:p>
    <w:p>
      <w:pPr>
        <w:adjustRightInd w:val="0"/>
        <w:snapToGrid w:val="0"/>
        <w:spacing w:line="500" w:lineRule="exact"/>
        <w:ind w:firstLine="422" w:firstLineChars="200"/>
        <w:rPr>
          <w:rFonts w:eastAsia="楷体_GB2312"/>
          <w:b/>
          <w:bCs/>
          <w:szCs w:val="21"/>
        </w:rPr>
      </w:pPr>
      <w:r>
        <w:rPr>
          <w:rFonts w:eastAsia="楷体_GB2312"/>
          <w:b/>
          <w:bCs/>
          <w:szCs w:val="21"/>
        </w:rPr>
        <w:t>遇有下列情况之一的，排除病理性改变，合格：</w:t>
      </w:r>
    </w:p>
    <w:p>
      <w:pPr>
        <w:adjustRightInd w:val="0"/>
        <w:snapToGrid w:val="0"/>
        <w:spacing w:line="500" w:lineRule="exact"/>
        <w:ind w:firstLine="422" w:firstLineChars="200"/>
        <w:rPr>
          <w:rFonts w:eastAsia="楷体_GB2312"/>
          <w:b/>
          <w:bCs/>
          <w:szCs w:val="21"/>
        </w:rPr>
      </w:pPr>
      <w:r>
        <w:rPr>
          <w:rFonts w:eastAsia="楷体_GB2312"/>
          <w:b/>
          <w:bCs/>
          <w:szCs w:val="21"/>
        </w:rPr>
        <w:t>1.心脏听诊有杂音；</w:t>
      </w:r>
    </w:p>
    <w:p>
      <w:pPr>
        <w:adjustRightInd w:val="0"/>
        <w:snapToGrid w:val="0"/>
        <w:spacing w:line="500" w:lineRule="exact"/>
        <w:ind w:firstLine="422" w:firstLineChars="200"/>
        <w:rPr>
          <w:rFonts w:eastAsia="楷体_GB2312"/>
          <w:b/>
          <w:bCs/>
          <w:szCs w:val="21"/>
        </w:rPr>
      </w:pPr>
      <w:r>
        <w:rPr>
          <w:rFonts w:eastAsia="楷体_GB2312"/>
          <w:b/>
          <w:bCs/>
          <w:szCs w:val="21"/>
        </w:rPr>
        <w:t>2.频发期前收缩；</w:t>
      </w:r>
    </w:p>
    <w:p>
      <w:pPr>
        <w:adjustRightInd w:val="0"/>
        <w:snapToGrid w:val="0"/>
        <w:spacing w:line="500" w:lineRule="exact"/>
        <w:ind w:firstLine="422" w:firstLineChars="200"/>
        <w:rPr>
          <w:rFonts w:eastAsia="楷体_GB2312"/>
          <w:b/>
          <w:bCs/>
          <w:szCs w:val="21"/>
        </w:rPr>
      </w:pPr>
      <w:r>
        <w:rPr>
          <w:rFonts w:eastAsia="楷体_GB2312"/>
          <w:b/>
          <w:bCs/>
          <w:szCs w:val="21"/>
        </w:rPr>
        <w:t>3.心率每分钟小于50次或大于110次；</w:t>
      </w:r>
    </w:p>
    <w:p>
      <w:pPr>
        <w:adjustRightInd w:val="0"/>
        <w:snapToGrid w:val="0"/>
        <w:spacing w:line="500" w:lineRule="exact"/>
        <w:ind w:firstLine="422" w:firstLineChars="200"/>
        <w:rPr>
          <w:rFonts w:eastAsia="楷体_GB2312"/>
          <w:b/>
          <w:bCs/>
          <w:szCs w:val="21"/>
        </w:rPr>
      </w:pPr>
      <w:r>
        <w:rPr>
          <w:rFonts w:eastAsia="楷体_GB2312"/>
          <w:b/>
          <w:bCs/>
          <w:szCs w:val="21"/>
        </w:rPr>
        <w:t>4.心电图有异常的其他情况。</w:t>
      </w:r>
    </w:p>
    <w:p>
      <w:pPr>
        <w:adjustRightInd w:val="0"/>
        <w:snapToGrid w:val="0"/>
        <w:spacing w:line="500" w:lineRule="exact"/>
        <w:rPr>
          <w:b/>
          <w:bCs/>
        </w:rPr>
      </w:pPr>
      <w:r>
        <w:rPr>
          <w:rFonts w:hint="eastAsia"/>
          <w:b/>
          <w:bCs/>
        </w:rPr>
        <w:t xml:space="preserve">    </w:t>
      </w:r>
      <w:r>
        <w:rPr>
          <w:b/>
          <w:bCs/>
        </w:rPr>
        <w:t>1.1  条文解释</w:t>
      </w:r>
    </w:p>
    <w:p>
      <w:pPr>
        <w:adjustRightInd w:val="0"/>
        <w:snapToGrid w:val="0"/>
        <w:spacing w:line="500" w:lineRule="exact"/>
        <w:ind w:firstLine="420" w:firstLineChars="200"/>
        <w:rPr>
          <w:rFonts w:eastAsia="黑体"/>
          <w:bCs/>
        </w:rPr>
      </w:pPr>
      <w:r>
        <w:t>该条款包含两层含义：即器质性心脏病和病理性改变，任何一种情况均属不合格。器质性心脏病系指客观检查发现有心脏结构或形态学上改变的各种心脏疾病。心脏病是多发病，严重危及人类健康。大多数心脏病是后天性的，如风湿性心脏病、心肌病、心肌炎、冠心病、心内膜炎等，少数是先天性心脏病。无论是哪一种心脏病，严重者最终可能发展为心力衰竭。关于病理性改变的描述详见“</w:t>
      </w:r>
      <w:r>
        <w:rPr>
          <w:rFonts w:eastAsia="黑体"/>
          <w:bCs/>
        </w:rPr>
        <w:t>1.3 注意事项”。</w:t>
      </w:r>
    </w:p>
    <w:p>
      <w:pPr>
        <w:adjustRightInd w:val="0"/>
        <w:snapToGrid w:val="0"/>
        <w:spacing w:line="500" w:lineRule="exact"/>
        <w:ind w:firstLine="420" w:firstLineChars="200"/>
      </w:pPr>
      <w: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adjustRightInd w:val="0"/>
        <w:snapToGrid w:val="0"/>
        <w:spacing w:line="500" w:lineRule="exact"/>
        <w:ind w:firstLine="420" w:firstLineChars="200"/>
      </w:pPr>
      <w: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adjustRightInd w:val="0"/>
        <w:snapToGrid w:val="0"/>
        <w:spacing w:line="500" w:lineRule="exact"/>
        <w:ind w:firstLine="420" w:firstLineChars="200"/>
      </w:pPr>
      <w:r>
        <w:t>1.1.3  冠心病  即冠状动脉性心脏病，又称缺血性心脏病，绝大部分是由于冠状动脉发生粥样硬化致管腔狭窄或阻塞，少部分是冠状动脉痉挛所致。由于冠状动脉供血不足，产生一系列心肌缺氧表现。</w:t>
      </w:r>
    </w:p>
    <w:p>
      <w:pPr>
        <w:adjustRightInd w:val="0"/>
        <w:snapToGrid w:val="0"/>
        <w:spacing w:line="500" w:lineRule="exact"/>
        <w:ind w:firstLine="420" w:firstLineChars="200"/>
        <w:rPr>
          <w:spacing w:val="-2"/>
        </w:rPr>
      </w:pPr>
      <w: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spacing w:val="-2"/>
        </w:rPr>
        <w:t>主要症状为活动后心悸、气短、易疲乏、发绀、反复肺部感染，活动耐力减退，甚至发生昏厥及心力衰竭，故</w:t>
      </w:r>
      <w:r>
        <w:t>先天性心脏病原则上不合格。但是，以下两种情况除外：</w:t>
      </w:r>
    </w:p>
    <w:p>
      <w:pPr>
        <w:adjustRightInd w:val="0"/>
        <w:snapToGrid w:val="0"/>
        <w:spacing w:line="500" w:lineRule="exact"/>
        <w:ind w:firstLine="420" w:firstLineChars="200"/>
      </w:pPr>
      <w:r>
        <w:t xml:space="preserve">1）先天性心脏病不需手术：原则上所有器质性心脏病均应按不合格处理，但某些轻度者，如直径小于0.5 </w:t>
      </w:r>
      <w:r>
        <w:rPr>
          <w:rFonts w:hint="eastAsia"/>
        </w:rPr>
        <w:t>厘米</w:t>
      </w:r>
      <w:r>
        <w:t>的小的房间隔或室间隔缺损、三尖瓣轻度返流、轻度肺动脉高压等，还有一些无临床意义的解剖学变异，如假腱索、右位心等，不影响日常生活和工作，即使不手术预计日后病情也不会进展，能保持正常心脏生理功能，由</w:t>
      </w:r>
      <w:r>
        <w:rPr>
          <w:bCs/>
        </w:rPr>
        <w:t>专科医生</w:t>
      </w:r>
      <w:r>
        <w:t>出具能够正常生活和工作、无须手术治疗的诊断证明后，可按合格处理。</w:t>
      </w:r>
    </w:p>
    <w:p>
      <w:pPr>
        <w:adjustRightInd w:val="0"/>
        <w:snapToGrid w:val="0"/>
        <w:spacing w:line="500" w:lineRule="exact"/>
        <w:ind w:firstLine="420" w:firstLineChars="200"/>
      </w:pPr>
      <w:r>
        <w:t>2）先天性心脏病经手术治愈：指先天性心脏病手术治疗后无合并症，心功能良好，未遗留心脏形态学改变或心脏病理学改变，经原诊治医院或上级医院进行相关检查后出具相关治愈证明后，可按合格处理。</w:t>
      </w:r>
    </w:p>
    <w:p>
      <w:pPr>
        <w:adjustRightInd w:val="0"/>
        <w:snapToGrid w:val="0"/>
        <w:spacing w:line="500" w:lineRule="exact"/>
        <w:ind w:firstLine="420" w:firstLineChars="200"/>
        <w:rPr>
          <w:color w:val="FF0000"/>
        </w:rPr>
      </w:pPr>
      <w:r>
        <w:t>1.1.5  大致正常心电图：指没有病理意义的心电图改变。</w:t>
      </w:r>
    </w:p>
    <w:p>
      <w:pPr>
        <w:adjustRightInd w:val="0"/>
        <w:snapToGrid w:val="0"/>
        <w:spacing w:line="500" w:lineRule="exact"/>
        <w:ind w:firstLine="420" w:firstLineChars="200"/>
        <w:rPr>
          <w:szCs w:val="30"/>
        </w:rPr>
      </w:pPr>
      <w:r>
        <w:rPr>
          <w:szCs w:val="30"/>
        </w:rPr>
        <w:t>1）单纯顺钟向转位。</w:t>
      </w:r>
    </w:p>
    <w:p>
      <w:pPr>
        <w:adjustRightInd w:val="0"/>
        <w:snapToGrid w:val="0"/>
        <w:spacing w:line="500" w:lineRule="exact"/>
        <w:ind w:firstLine="420" w:firstLineChars="200"/>
        <w:rPr>
          <w:szCs w:val="30"/>
        </w:rPr>
      </w:pPr>
      <w:r>
        <w:rPr>
          <w:szCs w:val="30"/>
        </w:rPr>
        <w:t>2）单纯逆钟向转位。</w:t>
      </w:r>
    </w:p>
    <w:p>
      <w:pPr>
        <w:adjustRightInd w:val="0"/>
        <w:snapToGrid w:val="0"/>
        <w:spacing w:line="500" w:lineRule="exact"/>
        <w:ind w:firstLine="420" w:firstLineChars="200"/>
        <w:rPr>
          <w:szCs w:val="30"/>
        </w:rPr>
      </w:pPr>
      <w:r>
        <w:rPr>
          <w:szCs w:val="30"/>
        </w:rPr>
        <w:t>3）窦性心律不齐。</w:t>
      </w:r>
    </w:p>
    <w:p>
      <w:pPr>
        <w:adjustRightInd w:val="0"/>
        <w:snapToGrid w:val="0"/>
        <w:spacing w:line="500" w:lineRule="exact"/>
        <w:ind w:firstLine="420" w:firstLineChars="200"/>
        <w:rPr>
          <w:szCs w:val="30"/>
        </w:rPr>
      </w:pPr>
      <w:r>
        <w:rPr>
          <w:szCs w:val="30"/>
        </w:rPr>
        <w:t>4）生理原因引起的窦性心动过速。</w:t>
      </w:r>
    </w:p>
    <w:p>
      <w:pPr>
        <w:adjustRightInd w:val="0"/>
        <w:snapToGrid w:val="0"/>
        <w:spacing w:line="500" w:lineRule="exact"/>
        <w:ind w:firstLine="420" w:firstLineChars="200"/>
        <w:rPr>
          <w:szCs w:val="30"/>
        </w:rPr>
      </w:pPr>
      <w:r>
        <w:rPr>
          <w:szCs w:val="30"/>
        </w:rPr>
        <w:t>5）生理原因引起的窦性心动过缓</w:t>
      </w:r>
      <w:r>
        <w:rPr>
          <w:rFonts w:hint="eastAsia"/>
          <w:szCs w:val="30"/>
        </w:rPr>
        <w:t>。</w:t>
      </w:r>
    </w:p>
    <w:p>
      <w:pPr>
        <w:adjustRightInd w:val="0"/>
        <w:snapToGrid w:val="0"/>
        <w:spacing w:line="500" w:lineRule="exact"/>
        <w:ind w:firstLine="420" w:firstLineChars="200"/>
        <w:rPr>
          <w:szCs w:val="30"/>
        </w:rPr>
      </w:pPr>
      <w:r>
        <w:rPr>
          <w:szCs w:val="30"/>
        </w:rPr>
        <w:t>6）窦房结内游走性心律。</w:t>
      </w:r>
    </w:p>
    <w:p>
      <w:pPr>
        <w:adjustRightInd w:val="0"/>
        <w:snapToGrid w:val="0"/>
        <w:spacing w:line="500" w:lineRule="exact"/>
        <w:ind w:firstLine="420" w:firstLineChars="200"/>
      </w:pPr>
      <w:r>
        <w:t>7）早期复极。</w:t>
      </w:r>
    </w:p>
    <w:p>
      <w:pPr>
        <w:adjustRightInd w:val="0"/>
        <w:snapToGrid w:val="0"/>
        <w:spacing w:line="500" w:lineRule="exact"/>
        <w:ind w:firstLine="420" w:firstLineChars="200"/>
        <w:rPr>
          <w:szCs w:val="30"/>
        </w:rPr>
      </w:pPr>
      <w:r>
        <w:rPr>
          <w:szCs w:val="30"/>
        </w:rPr>
        <w:t>8）迷走神经张力增高（窦性心动过缓，</w:t>
      </w:r>
      <w:r>
        <w:t>ST</w:t>
      </w:r>
      <w:r>
        <w:rPr>
          <w:szCs w:val="30"/>
        </w:rPr>
        <w:t>段轻度抬高，</w:t>
      </w:r>
      <w:r>
        <w:t>T</w:t>
      </w:r>
      <w:r>
        <w:rPr>
          <w:szCs w:val="30"/>
        </w:rPr>
        <w:t>波较高）。</w:t>
      </w:r>
    </w:p>
    <w:p>
      <w:pPr>
        <w:adjustRightInd w:val="0"/>
        <w:snapToGrid w:val="0"/>
        <w:spacing w:line="500" w:lineRule="exact"/>
        <w:ind w:firstLine="420" w:firstLineChars="200"/>
        <w:rPr>
          <w:szCs w:val="30"/>
        </w:rPr>
      </w:pPr>
      <w:r>
        <w:rPr>
          <w:szCs w:val="30"/>
        </w:rPr>
        <w:t>9）单纯左室或右室高电压（临床查体除心电图有电压增高以外，其他各项检查结果均正常，受检者胸壁较薄）。</w:t>
      </w:r>
    </w:p>
    <w:p>
      <w:pPr>
        <w:adjustRightInd w:val="0"/>
        <w:snapToGrid w:val="0"/>
        <w:spacing w:line="500" w:lineRule="exact"/>
        <w:ind w:firstLine="420" w:firstLineChars="200"/>
        <w:rPr>
          <w:szCs w:val="30"/>
        </w:rPr>
      </w:pPr>
      <w:r>
        <w:rPr>
          <w:szCs w:val="30"/>
        </w:rPr>
        <w:t>10）单纯Tv</w:t>
      </w:r>
      <w:r>
        <w:rPr>
          <w:szCs w:val="21"/>
          <w:vertAlign w:val="subscript"/>
        </w:rPr>
        <w:t>1</w:t>
      </w:r>
      <w:r>
        <w:rPr>
          <w:szCs w:val="30"/>
        </w:rPr>
        <w:t>&gt;Tv</w:t>
      </w:r>
      <w:r>
        <w:rPr>
          <w:szCs w:val="21"/>
          <w:vertAlign w:val="subscript"/>
        </w:rPr>
        <w:t>5</w:t>
      </w:r>
      <w:r>
        <w:rPr>
          <w:szCs w:val="30"/>
        </w:rPr>
        <w:t>或Tv</w:t>
      </w:r>
      <w:r>
        <w:rPr>
          <w:szCs w:val="21"/>
          <w:vertAlign w:val="subscript"/>
        </w:rPr>
        <w:t>6</w:t>
      </w:r>
      <w:r>
        <w:rPr>
          <w:szCs w:val="30"/>
        </w:rPr>
        <w:t xml:space="preserve">，查无任何疾病。 </w:t>
      </w:r>
    </w:p>
    <w:p>
      <w:pPr>
        <w:adjustRightInd w:val="0"/>
        <w:snapToGrid w:val="0"/>
        <w:spacing w:line="500" w:lineRule="exact"/>
        <w:ind w:firstLine="420" w:firstLineChars="200"/>
        <w:rPr>
          <w:szCs w:val="30"/>
        </w:rPr>
      </w:pPr>
      <w:r>
        <w:rPr>
          <w:szCs w:val="30"/>
        </w:rPr>
        <w:t>11）室上嵴型QRS波（V</w:t>
      </w:r>
      <w:r>
        <w:rPr>
          <w:szCs w:val="21"/>
          <w:vertAlign w:val="subscript"/>
        </w:rPr>
        <w:t>1</w:t>
      </w:r>
      <w:r>
        <w:rPr>
          <w:szCs w:val="30"/>
        </w:rPr>
        <w:t>呈rsr’型，r&gt;r’， I﹑V</w:t>
      </w:r>
      <w:r>
        <w:rPr>
          <w:szCs w:val="21"/>
          <w:vertAlign w:val="subscript"/>
        </w:rPr>
        <w:t>5</w:t>
      </w:r>
      <w:r>
        <w:rPr>
          <w:szCs w:val="30"/>
        </w:rPr>
        <w:t>导联无s波或s波在正常范围内）。</w:t>
      </w:r>
    </w:p>
    <w:p>
      <w:pPr>
        <w:adjustRightInd w:val="0"/>
        <w:snapToGrid w:val="0"/>
        <w:spacing w:line="500" w:lineRule="exact"/>
        <w:ind w:firstLine="420" w:firstLineChars="200"/>
        <w:rPr>
          <w:szCs w:val="30"/>
        </w:rPr>
      </w:pPr>
      <w:r>
        <w:rPr>
          <w:szCs w:val="30"/>
        </w:rPr>
        <w:t>12）轻度电轴左偏，不超过-45°；</w:t>
      </w:r>
    </w:p>
    <w:p>
      <w:pPr>
        <w:adjustRightInd w:val="0"/>
        <w:snapToGrid w:val="0"/>
        <w:spacing w:line="500" w:lineRule="exact"/>
        <w:ind w:firstLine="420" w:firstLineChars="200"/>
        <w:rPr>
          <w:szCs w:val="30"/>
        </w:rPr>
      </w:pPr>
      <w:r>
        <w:rPr>
          <w:szCs w:val="30"/>
        </w:rPr>
        <w:t>13）轻度电轴右偏，不超过110°；</w:t>
      </w:r>
    </w:p>
    <w:p>
      <w:pPr>
        <w:adjustRightInd w:val="0"/>
        <w:snapToGrid w:val="0"/>
        <w:spacing w:line="500" w:lineRule="exact"/>
        <w:ind w:firstLine="420" w:firstLineChars="200"/>
        <w:rPr>
          <w:szCs w:val="30"/>
        </w:rPr>
      </w:pPr>
      <w:r>
        <w:rPr>
          <w:szCs w:val="30"/>
        </w:rPr>
        <w:t>1</w:t>
      </w:r>
      <w:r>
        <w:rPr>
          <w:rFonts w:hint="eastAsia"/>
          <w:szCs w:val="30"/>
        </w:rPr>
        <w:t>4</w:t>
      </w:r>
      <w:r>
        <w:rPr>
          <w:szCs w:val="30"/>
        </w:rPr>
        <w:t>）</w:t>
      </w:r>
      <w:r>
        <w:t>P</w:t>
      </w:r>
      <w:r>
        <w:rPr>
          <w:szCs w:val="30"/>
        </w:rPr>
        <w:t>波高尖（波幅处于正常高限而无明确病因）。</w:t>
      </w:r>
    </w:p>
    <w:p>
      <w:pPr>
        <w:adjustRightInd w:val="0"/>
        <w:snapToGrid w:val="0"/>
        <w:spacing w:line="500" w:lineRule="exact"/>
        <w:ind w:firstLine="420" w:firstLineChars="200"/>
        <w:rPr>
          <w:szCs w:val="30"/>
        </w:rPr>
      </w:pPr>
      <w:r>
        <w:rPr>
          <w:szCs w:val="30"/>
        </w:rPr>
        <w:t>1</w:t>
      </w:r>
      <w:r>
        <w:rPr>
          <w:rFonts w:hint="eastAsia"/>
          <w:szCs w:val="30"/>
        </w:rPr>
        <w:t>5</w:t>
      </w:r>
      <w:r>
        <w:rPr>
          <w:szCs w:val="30"/>
        </w:rPr>
        <w:t>）轻微</w:t>
      </w:r>
      <w:r>
        <w:rPr>
          <w:rFonts w:eastAsia="黑体"/>
          <w:szCs w:val="30"/>
        </w:rPr>
        <w:t>T</w:t>
      </w:r>
      <w:r>
        <w:rPr>
          <w:szCs w:val="30"/>
        </w:rPr>
        <w:t>波改变（以R波为主的导联T波略偏低，或胸导联T波出现切迹等）。</w:t>
      </w:r>
    </w:p>
    <w:p>
      <w:pPr>
        <w:adjustRightInd w:val="0"/>
        <w:snapToGrid w:val="0"/>
        <w:spacing w:line="500" w:lineRule="exact"/>
        <w:ind w:firstLine="420" w:firstLineChars="200"/>
        <w:rPr>
          <w:szCs w:val="30"/>
        </w:rPr>
      </w:pPr>
      <w:r>
        <w:rPr>
          <w:szCs w:val="30"/>
        </w:rPr>
        <w:t>1</w:t>
      </w:r>
      <w:r>
        <w:rPr>
          <w:rFonts w:hint="eastAsia"/>
          <w:szCs w:val="30"/>
        </w:rPr>
        <w:t>6</w:t>
      </w:r>
      <w:r>
        <w:rPr>
          <w:szCs w:val="30"/>
        </w:rPr>
        <w:t xml:space="preserve">）轻微S-T段改变。S-T在0.05-0.25s；S-T段下降＜0.05 </w:t>
      </w:r>
      <w:r>
        <w:rPr>
          <w:rFonts w:hint="eastAsia"/>
          <w:szCs w:val="30"/>
        </w:rPr>
        <w:t>m</w:t>
      </w:r>
      <w:r>
        <w:rPr>
          <w:szCs w:val="30"/>
        </w:rPr>
        <w:t>V；或S-T段抬高，在V</w:t>
      </w:r>
      <w:r>
        <w:rPr>
          <w:szCs w:val="21"/>
          <w:vertAlign w:val="subscript"/>
        </w:rPr>
        <w:t>2</w:t>
      </w:r>
      <w:r>
        <w:rPr>
          <w:szCs w:val="30"/>
        </w:rPr>
        <w:t>、</w:t>
      </w:r>
      <w:r>
        <w:rPr>
          <w:szCs w:val="21"/>
          <w:vertAlign w:val="subscript"/>
        </w:rPr>
        <w:t>、</w:t>
      </w:r>
      <w:r>
        <w:rPr>
          <w:szCs w:val="30"/>
        </w:rPr>
        <w:t>V</w:t>
      </w:r>
      <w:r>
        <w:rPr>
          <w:szCs w:val="21"/>
          <w:vertAlign w:val="subscript"/>
        </w:rPr>
        <w:t>3</w:t>
      </w:r>
      <w:r>
        <w:rPr>
          <w:szCs w:val="30"/>
        </w:rPr>
        <w:t xml:space="preserve">导联S-T段抬高＜0.3 </w:t>
      </w:r>
      <w:r>
        <w:rPr>
          <w:rFonts w:hint="eastAsia"/>
          <w:szCs w:val="30"/>
        </w:rPr>
        <w:t>m</w:t>
      </w:r>
      <w:r>
        <w:rPr>
          <w:szCs w:val="30"/>
        </w:rPr>
        <w:t>V，其余导联S-T段抬高＜0</w:t>
      </w:r>
      <w:r>
        <w:rPr>
          <w:rFonts w:hint="eastAsia"/>
          <w:szCs w:val="30"/>
        </w:rPr>
        <w:t>.</w:t>
      </w:r>
      <w:r>
        <w:rPr>
          <w:szCs w:val="30"/>
        </w:rPr>
        <w:t>10</w:t>
      </w:r>
      <w:r>
        <w:t>～</w:t>
      </w:r>
      <w:r>
        <w:rPr>
          <w:szCs w:val="30"/>
        </w:rPr>
        <w:t xml:space="preserve">0.15 </w:t>
      </w:r>
      <w:r>
        <w:rPr>
          <w:rFonts w:hint="eastAsia"/>
          <w:szCs w:val="30"/>
        </w:rPr>
        <w:t>m</w:t>
      </w:r>
      <w:r>
        <w:rPr>
          <w:szCs w:val="30"/>
        </w:rPr>
        <w:t>V。</w:t>
      </w:r>
    </w:p>
    <w:p>
      <w:pPr>
        <w:adjustRightInd w:val="0"/>
        <w:snapToGrid w:val="0"/>
        <w:spacing w:line="500" w:lineRule="exact"/>
        <w:ind w:firstLine="420" w:firstLineChars="200"/>
      </w:pPr>
      <w:r>
        <w:rPr>
          <w:szCs w:val="30"/>
        </w:rPr>
        <w:t>1</w:t>
      </w:r>
      <w:r>
        <w:rPr>
          <w:rFonts w:hint="eastAsia"/>
          <w:szCs w:val="30"/>
        </w:rPr>
        <w:t>7</w:t>
      </w:r>
      <w:r>
        <w:rPr>
          <w:szCs w:val="30"/>
        </w:rPr>
        <w:t xml:space="preserve">）Q-T间期轻度延长。                            </w:t>
      </w:r>
    </w:p>
    <w:p>
      <w:pPr>
        <w:adjustRightInd w:val="0"/>
        <w:snapToGrid w:val="0"/>
        <w:spacing w:line="500" w:lineRule="exact"/>
        <w:ind w:firstLine="420" w:firstLineChars="200"/>
        <w:rPr>
          <w:szCs w:val="30"/>
        </w:rPr>
      </w:pPr>
      <w:r>
        <w:rPr>
          <w:szCs w:val="30"/>
        </w:rPr>
        <w:t>1</w:t>
      </w:r>
      <w:r>
        <w:rPr>
          <w:rFonts w:hint="eastAsia"/>
          <w:szCs w:val="30"/>
        </w:rPr>
        <w:t>8</w:t>
      </w:r>
      <w:r>
        <w:rPr>
          <w:szCs w:val="30"/>
        </w:rPr>
        <w:t>）可疑</w:t>
      </w:r>
      <w:r>
        <w:t>U</w:t>
      </w:r>
      <w:r>
        <w:rPr>
          <w:szCs w:val="30"/>
        </w:rPr>
        <w:t>波，</w:t>
      </w:r>
      <w:r>
        <w:t>U</w:t>
      </w:r>
      <w:r>
        <w:rPr>
          <w:szCs w:val="30"/>
        </w:rPr>
        <w:t>波明显，但未高于</w:t>
      </w:r>
      <w:r>
        <w:t>T</w:t>
      </w:r>
      <w:r>
        <w:rPr>
          <w:szCs w:val="30"/>
        </w:rPr>
        <w:t>波，无其他可疑的阳性病史、症状和体征。</w:t>
      </w:r>
    </w:p>
    <w:p>
      <w:pPr>
        <w:adjustRightInd w:val="0"/>
        <w:snapToGrid w:val="0"/>
        <w:spacing w:line="500" w:lineRule="exact"/>
        <w:ind w:firstLine="420" w:firstLineChars="200"/>
        <w:rPr>
          <w:szCs w:val="30"/>
        </w:rPr>
      </w:pPr>
      <w:r>
        <w:rPr>
          <w:rFonts w:hint="eastAsia"/>
          <w:szCs w:val="30"/>
        </w:rPr>
        <w:t>19</w:t>
      </w:r>
      <w:r>
        <w:rPr>
          <w:szCs w:val="30"/>
        </w:rPr>
        <w:t>）完全和不完全性右束支传导阻滞，无其他可疑的阳性病史、症状和体征。</w:t>
      </w:r>
    </w:p>
    <w:p>
      <w:pPr>
        <w:adjustRightInd w:val="0"/>
        <w:snapToGrid w:val="0"/>
        <w:spacing w:line="500" w:lineRule="exact"/>
        <w:ind w:firstLine="420" w:firstLineChars="200"/>
      </w:pPr>
      <w:r>
        <w:rPr>
          <w:szCs w:val="30"/>
        </w:rPr>
        <w:t>2</w:t>
      </w:r>
      <w:r>
        <w:rPr>
          <w:rFonts w:hint="eastAsia"/>
          <w:szCs w:val="30"/>
        </w:rPr>
        <w:t>0</w:t>
      </w:r>
      <w:r>
        <w:rPr>
          <w:szCs w:val="30"/>
        </w:rPr>
        <w:t>）</w:t>
      </w:r>
      <w:r>
        <w:t>一度及二度Ⅰ型房室传导阻滞。</w:t>
      </w:r>
    </w:p>
    <w:p>
      <w:pPr>
        <w:adjustRightInd w:val="0"/>
        <w:snapToGrid w:val="0"/>
        <w:spacing w:line="500" w:lineRule="exact"/>
        <w:ind w:firstLine="420" w:firstLineChars="200"/>
      </w:pPr>
      <w:r>
        <w:t>2</w:t>
      </w:r>
      <w:r>
        <w:rPr>
          <w:rFonts w:hint="eastAsia"/>
        </w:rPr>
        <w:t>1</w:t>
      </w:r>
      <w:r>
        <w:t>）偶发期前收缩。</w:t>
      </w:r>
    </w:p>
    <w:p>
      <w:pPr>
        <w:adjustRightInd w:val="0"/>
        <w:snapToGrid w:val="0"/>
        <w:spacing w:line="500" w:lineRule="exact"/>
        <w:ind w:firstLine="420" w:firstLineChars="200"/>
      </w:pPr>
      <w:r>
        <w:t>2</w:t>
      </w:r>
      <w:r>
        <w:rPr>
          <w:rFonts w:hint="eastAsia"/>
        </w:rPr>
        <w:t>2</w:t>
      </w:r>
      <w:r>
        <w:t>）P-R间期缩短。</w:t>
      </w:r>
    </w:p>
    <w:p>
      <w:pPr>
        <w:adjustRightInd w:val="0"/>
        <w:snapToGrid w:val="0"/>
        <w:spacing w:line="500" w:lineRule="exact"/>
        <w:ind w:firstLine="420" w:firstLineChars="200"/>
      </w:pPr>
      <w:r>
        <w:t>正常心电图和大致正常心电图，合格。但超过大致正常心电图范围者，不一定就是病理性心电图。</w:t>
      </w:r>
    </w:p>
    <w:p>
      <w:pPr>
        <w:adjustRightInd w:val="0"/>
        <w:snapToGrid w:val="0"/>
        <w:spacing w:line="500" w:lineRule="exact"/>
        <w:ind w:firstLine="420" w:firstLineChars="200"/>
      </w:pPr>
      <w:r>
        <w:t>1.1.6  需排除病理性改变的几种异常情况：</w:t>
      </w:r>
    </w:p>
    <w:p>
      <w:pPr>
        <w:adjustRightInd w:val="0"/>
        <w:snapToGrid w:val="0"/>
        <w:spacing w:line="500" w:lineRule="exact"/>
        <w:ind w:firstLine="420" w:firstLineChars="200"/>
      </w:pPr>
      <w: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1篇1.2.2中的表3；舒张期杂音、连续性杂音均属于病理性杂音。在具体操作上，当体检医生听诊发现可疑性病理性杂音时，可作进一步检查，如超声心动图，以排除病理性杂音。</w:t>
      </w:r>
    </w:p>
    <w:p>
      <w:pPr>
        <w:adjustRightInd w:val="0"/>
        <w:snapToGrid w:val="0"/>
        <w:spacing w:line="500" w:lineRule="exact"/>
        <w:ind w:firstLine="420" w:firstLineChars="200"/>
      </w:pPr>
      <w:r>
        <w:t>2）频发期前收缩（早搏）：指每分钟6次以上的期前收缩（早搏）。可进一步做超声心动图（UCG）等检查，检查结果正常者，按合格处理。</w:t>
      </w:r>
    </w:p>
    <w:p>
      <w:pPr>
        <w:adjustRightInd w:val="0"/>
        <w:snapToGrid w:val="0"/>
        <w:spacing w:line="500" w:lineRule="exact"/>
        <w:ind w:firstLine="420" w:firstLineChars="200"/>
      </w:pPr>
      <w:r>
        <w:t>3）心率每分钟低于5</w:t>
      </w:r>
      <w:r>
        <w:rPr>
          <w:rFonts w:hint="eastAsia"/>
        </w:rPr>
        <w:t>0</w:t>
      </w:r>
      <w:r>
        <w:t>次或高于110次。正常成人在安静状态下心率范围为60～100次/</w:t>
      </w:r>
      <w:r>
        <w:rPr>
          <w:rFonts w:hint="eastAsia"/>
        </w:rPr>
        <w:t>m</w:t>
      </w:r>
      <w:r>
        <w:t>in，心率超过100次/</w:t>
      </w:r>
      <w:r>
        <w:rPr>
          <w:rFonts w:hint="eastAsia"/>
        </w:rPr>
        <w:t>m</w:t>
      </w:r>
      <w:r>
        <w:t>in称为心动过速。心动过速分为生理性和病理性两种。跑步、饮酒、重体力劳动及精神紧张时心率加快，为生理性心动过速；由高热、贫血、甲状腺功能亢进、出血、疼痛、缺氧、心脏病等因素引起的心动过速，为病理性心动过速。</w:t>
      </w:r>
    </w:p>
    <w:p>
      <w:pPr>
        <w:adjustRightInd w:val="0"/>
        <w:snapToGrid w:val="0"/>
        <w:spacing w:line="500" w:lineRule="exact"/>
        <w:ind w:firstLine="420" w:firstLineChars="200"/>
      </w:pPr>
      <w:r>
        <w:t>心率低于50次/分钟者，除见于各种心脏病如冠心病、急性心肌梗死、心肌炎、心肌病和病窦综合征等外，还可见于其他系统疾病如颅内压增高、高血钾、肾性高血压、甲状腺功能减退等，以及应用洋地黄、β受体阻滞剂、利血平、胍乙啶、甲基多巴等药物后，能够排除上述病理性改变所致者，合格；对心率高于110次/分钟者，能够排除高热、贫血、甲状腺功能亢进、出血、疼痛、缺氧、心脏病等病理性改变所致者，亦属体检合格。</w:t>
      </w:r>
    </w:p>
    <w:p>
      <w:pPr>
        <w:adjustRightInd w:val="0"/>
        <w:snapToGrid w:val="0"/>
        <w:spacing w:line="500" w:lineRule="exact"/>
        <w:ind w:firstLine="420" w:firstLineChars="200"/>
      </w:pPr>
      <w:r>
        <w:t>对心率每分钟低于5</w:t>
      </w:r>
      <w:r>
        <w:rPr>
          <w:rFonts w:hint="eastAsia"/>
        </w:rPr>
        <w:t>0</w:t>
      </w:r>
      <w:r>
        <w:t>次或高于110次，可根据需要进一步做超声心动图等检查，排除病理性改变。</w:t>
      </w:r>
    </w:p>
    <w:p>
      <w:pPr>
        <w:adjustRightInd w:val="0"/>
        <w:snapToGrid w:val="0"/>
        <w:spacing w:line="500" w:lineRule="exact"/>
        <w:ind w:firstLine="420" w:firstLineChars="200"/>
        <w:rPr>
          <w:bCs/>
        </w:rPr>
      </w:pPr>
      <w:r>
        <w:rPr>
          <w:bCs/>
        </w:rPr>
        <w:t>当</w:t>
      </w:r>
      <w:r>
        <w:rPr>
          <w:rFonts w:hint="eastAsia"/>
          <w:bCs/>
        </w:rPr>
        <w:t>听诊心率与心电图显示的心率结果不一致时，以听诊心率结果为准。</w:t>
      </w:r>
    </w:p>
    <w:p>
      <w:pPr>
        <w:adjustRightInd w:val="0"/>
        <w:snapToGrid w:val="0"/>
        <w:spacing w:line="500" w:lineRule="exact"/>
        <w:ind w:firstLine="420" w:firstLineChars="200"/>
      </w:pPr>
      <w:r>
        <w:t>4）心电图异常的其他情况：</w:t>
      </w:r>
      <w:r>
        <w:rPr>
          <w:szCs w:val="30"/>
        </w:rPr>
        <w:t>主要是指一些轻度的心电图异常改变。</w:t>
      </w:r>
      <w:r>
        <w:t>这些异常的心电图既不属于大致正常心电图，又不属于典型的病理性心电图，需经进一步检查排除病理性改变后，才可作出体检合格的体检结论。譬</w:t>
      </w:r>
      <w:r>
        <w:rPr>
          <w:szCs w:val="30"/>
        </w:rPr>
        <w:t>如：</w:t>
      </w:r>
    </w:p>
    <w:p>
      <w:pPr>
        <w:adjustRightInd w:val="0"/>
        <w:snapToGrid w:val="0"/>
        <w:spacing w:line="500" w:lineRule="exact"/>
        <w:ind w:firstLine="420" w:firstLineChars="200"/>
        <w:rPr>
          <w:b/>
          <w:color w:val="FF0000"/>
        </w:rPr>
      </w:pPr>
      <w:r>
        <w:t>①ST段下降，T波改变。出现上述异常时，作结论应谨慎，因非冠心病者，心电图上也可有ST-T改变。若无证据证明有病理性改变者，不能轻易作不合格结论。比较经济易行的除外病理性改变的方法是进一步做心得安试验。如用药后ST-T恢复正常为阳性，则是功能性的，提示为植物神经功能紊乱所致；若ST-T异常持续存在，未完全恢复或无改变为阴性，通常是器质性的，提示为心肌缺血或心肌损害。</w:t>
      </w:r>
    </w:p>
    <w:p>
      <w:pPr>
        <w:adjustRightInd w:val="0"/>
        <w:snapToGrid w:val="0"/>
        <w:spacing w:line="500" w:lineRule="exact"/>
        <w:ind w:firstLine="420" w:firstLineChars="200"/>
      </w:pPr>
      <w:r>
        <w:rPr>
          <w:szCs w:val="30"/>
        </w:rPr>
        <w:t>②</w:t>
      </w:r>
      <w:r>
        <w:t>Q-T间期轻度延长。</w:t>
      </w:r>
      <w:r>
        <w:rPr>
          <w:szCs w:val="30"/>
        </w:rPr>
        <w:t>对</w:t>
      </w:r>
      <w:r>
        <w:t>Q-T间期轻度延长者，若Q-Tc轻度延长（在0.44-0.46秒之间），因发生心血管事件的几率很小，可作合格结论；若Q-Tc在0.48秒以上，因容易发生心血管事件，不合格；对大于0.46秒但小于0.48秒者，需做进一步检查，如心脏负荷试验等，根据试验结果确定是否合格。</w:t>
      </w:r>
    </w:p>
    <w:p>
      <w:pPr>
        <w:adjustRightInd w:val="0"/>
        <w:snapToGrid w:val="0"/>
        <w:spacing w:line="500" w:lineRule="exact"/>
        <w:ind w:firstLine="435"/>
      </w:pPr>
      <w:r>
        <w:t>③S</w:t>
      </w:r>
      <w:r>
        <w:rPr>
          <w:szCs w:val="21"/>
          <w:vertAlign w:val="subscript"/>
        </w:rPr>
        <w:t>1</w:t>
      </w:r>
      <w:r>
        <w:t>S</w:t>
      </w:r>
      <w:r>
        <w:rPr>
          <w:szCs w:val="21"/>
          <w:vertAlign w:val="subscript"/>
        </w:rPr>
        <w:t>2</w:t>
      </w:r>
      <w:r>
        <w:t>S</w:t>
      </w:r>
      <w:r>
        <w:rPr>
          <w:szCs w:val="21"/>
          <w:vertAlign w:val="subscript"/>
        </w:rPr>
        <w:t>3</w:t>
      </w:r>
      <w:r>
        <w:t>综合征。S</w:t>
      </w:r>
      <w:r>
        <w:rPr>
          <w:szCs w:val="21"/>
          <w:vertAlign w:val="subscript"/>
        </w:rPr>
        <w:t>1</w:t>
      </w:r>
      <w:r>
        <w:t>S</w:t>
      </w:r>
      <w:r>
        <w:rPr>
          <w:szCs w:val="21"/>
          <w:vertAlign w:val="subscript"/>
        </w:rPr>
        <w:t>2</w:t>
      </w:r>
      <w:r>
        <w:t>S</w:t>
      </w:r>
      <w:r>
        <w:rPr>
          <w:szCs w:val="21"/>
          <w:vertAlign w:val="subscript"/>
        </w:rPr>
        <w:t>3</w:t>
      </w:r>
      <w:r>
        <w:t>综合征既可见于正常变异，也可见于先天性心脏病或肺心病引起的右室肥厚等情况。比较经济易行的除外病理性改变的方法是做超声心动图检查。如果有心室肥厚，则这种心电图是由病理性因素所致，属体检不合格；反之，如超声心动图检查未发现异常，则可作出体检合格的结论。</w:t>
      </w:r>
    </w:p>
    <w:p>
      <w:pPr>
        <w:adjustRightInd w:val="0"/>
        <w:snapToGrid w:val="0"/>
        <w:spacing w:line="500" w:lineRule="exact"/>
        <w:ind w:firstLine="435"/>
        <w:rPr>
          <w:b/>
          <w:color w:val="FF0000"/>
        </w:rPr>
      </w:pPr>
      <w:r>
        <w:t>④心电轴</w:t>
      </w:r>
      <w:r>
        <w:rPr>
          <w:rFonts w:hint="eastAsia"/>
        </w:rPr>
        <w:t>明显</w:t>
      </w:r>
      <w:r>
        <w:t>右偏或左偏。心电轴</w:t>
      </w:r>
      <w:r>
        <w:rPr>
          <w:rFonts w:hint="eastAsia"/>
        </w:rPr>
        <w:t>明显</w:t>
      </w:r>
      <w:r>
        <w:t>右偏即可见于右心室肥厚的患者，也可见于健康人，心电轴</w:t>
      </w:r>
      <w:r>
        <w:rPr>
          <w:rFonts w:hint="eastAsia"/>
        </w:rPr>
        <w:t>明显</w:t>
      </w:r>
      <w:r>
        <w:t>左偏即可见于左心室肥厚的患者，也可见于健康人，需进一步做超声心动图检查明确诊断。</w:t>
      </w:r>
    </w:p>
    <w:p>
      <w:pPr>
        <w:adjustRightInd w:val="0"/>
        <w:snapToGrid w:val="0"/>
        <w:spacing w:line="500" w:lineRule="exact"/>
        <w:ind w:firstLine="420" w:firstLineChars="200"/>
      </w:pPr>
      <w:r>
        <w:rPr>
          <w:szCs w:val="30"/>
        </w:rPr>
        <w:t xml:space="preserve">1.1.7  </w:t>
      </w:r>
      <w:r>
        <w:t>典型的病理性心电图</w:t>
      </w:r>
    </w:p>
    <w:p>
      <w:pPr>
        <w:adjustRightInd w:val="0"/>
        <w:snapToGrid w:val="0"/>
        <w:spacing w:line="500" w:lineRule="exact"/>
        <w:ind w:firstLine="420" w:firstLineChars="200"/>
      </w:pPr>
      <w:r>
        <w:t>如非生理原因所致的窦性心动过速（心率每分钟高于110次）和过缓（心率每分钟低于5</w:t>
      </w:r>
      <w:r>
        <w:rPr>
          <w:rFonts w:hint="eastAsia"/>
        </w:rPr>
        <w:t>0</w:t>
      </w:r>
      <w:r>
        <w:t>次）、各种室上性或室性心动过速（导管消融治愈者除外）、心房扑动和颤动（导管消融治愈者除外）、慢快综合征、预激综合征（导管消融治愈者除外）、传导阻滞(包括窦房阻滞、二度Ⅱ型以上的房室传导阻滞、左束支阻滞、多束支阻滞等)和病态窦房结综合征（SSS），等等，不合格。</w:t>
      </w:r>
    </w:p>
    <w:p>
      <w:pPr>
        <w:adjustRightInd w:val="0"/>
        <w:snapToGrid w:val="0"/>
        <w:spacing w:line="500" w:lineRule="exact"/>
        <w:ind w:firstLine="420" w:firstLineChars="200"/>
        <w:rPr>
          <w:b/>
          <w:color w:val="FF0000"/>
        </w:rPr>
      </w:pPr>
      <w:r>
        <w:t>需要注意的是，起搏器心律虽也属于病理性心电图，但因绝大多数患者终身不发病，预后好，一般不会引发心血管事件，可正常履行公务员职责，只要没有器质性心脏病，心功能正常等，属体检合格。</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1.2  诊断要点</w:t>
      </w:r>
    </w:p>
    <w:p>
      <w:pPr>
        <w:adjustRightInd w:val="0"/>
        <w:snapToGrid w:val="0"/>
        <w:spacing w:line="500" w:lineRule="exact"/>
        <w:ind w:firstLine="420" w:firstLineChars="200"/>
      </w:pPr>
      <w:r>
        <w:t>体检过程中心脏疾病的诊断主要依据病史、内科查体、心电图检查及胸部X线检查，发现可疑者，可根据实际情况，选择会诊、超声心动图检查等方法取得更可靠的诊断依据。作为体检，介入性诊断方法一般不作为进一步的检查项目。</w:t>
      </w:r>
    </w:p>
    <w:p>
      <w:pPr>
        <w:adjustRightInd w:val="0"/>
        <w:snapToGrid w:val="0"/>
        <w:spacing w:line="500" w:lineRule="exact"/>
        <w:ind w:firstLine="420" w:firstLineChars="200"/>
        <w:rPr>
          <w:rFonts w:eastAsia="黑体"/>
          <w:bCs/>
        </w:rPr>
      </w:pPr>
      <w:r>
        <w:rPr>
          <w:rFonts w:eastAsia="黑体"/>
          <w:bCs/>
        </w:rPr>
        <w:t>1.2.1  风湿性心脏病</w:t>
      </w:r>
    </w:p>
    <w:p>
      <w:pPr>
        <w:adjustRightInd w:val="0"/>
        <w:snapToGrid w:val="0"/>
        <w:spacing w:line="500" w:lineRule="exact"/>
        <w:ind w:firstLine="420" w:firstLineChars="200"/>
      </w:pPr>
      <w:r>
        <w:t>1）病史询问要点：注意发病的年龄特点，以往有无风湿热病史，有无心慌、胸闷、活动后喘憋等症状。</w:t>
      </w:r>
    </w:p>
    <w:p>
      <w:pPr>
        <w:adjustRightInd w:val="0"/>
        <w:snapToGrid w:val="0"/>
        <w:spacing w:line="500" w:lineRule="exact"/>
        <w:ind w:firstLine="420" w:firstLineChars="200"/>
      </w:pPr>
      <w:r>
        <w:t>2）查体要点：注意有无颈静脉搏动、二尖瓣面容，有无心音亢进、减弱或分裂，各瓣膜区有无心脏杂音、震颤，心尖区舒张中晚期隆隆样杂音是风湿性心脏病最常见但易疏漏的特异性体征，应特别注意。</w:t>
      </w:r>
    </w:p>
    <w:p>
      <w:pPr>
        <w:adjustRightInd w:val="0"/>
        <w:snapToGrid w:val="0"/>
        <w:spacing w:line="500" w:lineRule="exact"/>
        <w:ind w:firstLine="420" w:firstLineChars="200"/>
      </w:pPr>
      <w:r>
        <w:t>3）辅助检查要点：</w:t>
      </w:r>
    </w:p>
    <w:p>
      <w:pPr>
        <w:adjustRightInd w:val="0"/>
        <w:snapToGrid w:val="0"/>
        <w:spacing w:line="500" w:lineRule="exact"/>
        <w:ind w:firstLine="420" w:firstLineChars="200"/>
      </w:pPr>
      <w:r>
        <w:t>心电图：注意有无异常P波（宽大或呈双峰样的二尖瓣型P波），有无左/右心房扩大或左/右心室肥厚的心电图表现，有无心动过速、房性早搏、室性早搏、房颤等心律失常。</w:t>
      </w:r>
    </w:p>
    <w:p>
      <w:pPr>
        <w:adjustRightInd w:val="0"/>
        <w:snapToGrid w:val="0"/>
        <w:spacing w:line="500" w:lineRule="exact"/>
        <w:ind w:firstLine="420" w:firstLineChars="200"/>
      </w:pPr>
      <w:r>
        <w:t>X线：注意有无心脏增大，有无“二尖瓣型心脏”（“梨型心脏”）、“主动脉型心脏”等特征，有无肺血异常。</w:t>
      </w:r>
    </w:p>
    <w:p>
      <w:pPr>
        <w:adjustRightInd w:val="0"/>
        <w:snapToGrid w:val="0"/>
        <w:spacing w:line="500" w:lineRule="exact"/>
        <w:ind w:firstLine="420" w:firstLineChars="200"/>
      </w:pPr>
      <w:r>
        <w:t>超声心动图：对体检中发现可疑病理性杂音者，应先行超声心动图检查，进行详细评估是否存在明显的瓣膜畸形、损伤、狭窄或关闭不全，以及是否有明确的器质性心脏病。</w:t>
      </w:r>
    </w:p>
    <w:p>
      <w:pPr>
        <w:adjustRightInd w:val="0"/>
        <w:snapToGrid w:val="0"/>
        <w:spacing w:line="500" w:lineRule="exact"/>
        <w:ind w:firstLine="411" w:firstLineChars="196"/>
        <w:rPr>
          <w:rFonts w:eastAsia="黑体"/>
          <w:bCs/>
        </w:rPr>
      </w:pPr>
      <w:r>
        <w:rPr>
          <w:rFonts w:eastAsia="黑体"/>
          <w:bCs/>
        </w:rPr>
        <w:t>1.2.2  心肌病</w:t>
      </w:r>
    </w:p>
    <w:p>
      <w:pPr>
        <w:adjustRightInd w:val="0"/>
        <w:snapToGrid w:val="0"/>
        <w:spacing w:line="500" w:lineRule="exact"/>
        <w:ind w:firstLine="420" w:firstLineChars="200"/>
      </w:pPr>
      <w:r>
        <w:t>1）病史询问要点：有无明确的病毒性心肌炎病史（原发性心肌病无此病史），有无心慌、心前区痛、劳力性呼吸困难、晕厥等表现。</w:t>
      </w:r>
    </w:p>
    <w:p>
      <w:pPr>
        <w:adjustRightInd w:val="0"/>
        <w:snapToGrid w:val="0"/>
        <w:spacing w:line="500" w:lineRule="exact"/>
        <w:ind w:firstLine="420" w:firstLineChars="200"/>
      </w:pPr>
      <w:r>
        <w:t>2）查体要点：注意有无心脏扩大、心音减弱、心脏杂音，有无左心衰和/或右心衰的相应体征。</w:t>
      </w:r>
    </w:p>
    <w:p>
      <w:pPr>
        <w:adjustRightInd w:val="0"/>
        <w:snapToGrid w:val="0"/>
        <w:spacing w:line="500" w:lineRule="exact"/>
        <w:ind w:firstLine="420" w:firstLineChars="200"/>
      </w:pPr>
      <w:r>
        <w:t>3）辅助检查要点：</w:t>
      </w:r>
    </w:p>
    <w:p>
      <w:pPr>
        <w:adjustRightInd w:val="0"/>
        <w:snapToGrid w:val="0"/>
        <w:spacing w:line="500" w:lineRule="exact"/>
        <w:ind w:firstLine="420" w:firstLineChars="200"/>
      </w:pPr>
      <w:r>
        <w:t>心电图：可见ST-T改变，异常Q波，心室肥厚，左或右束支传导阻滞或房室传导阻滞，以及各种心律失常，而这些异常无其他原因可以解释。</w:t>
      </w:r>
    </w:p>
    <w:p>
      <w:pPr>
        <w:adjustRightInd w:val="0"/>
        <w:snapToGrid w:val="0"/>
        <w:spacing w:line="500" w:lineRule="exact"/>
        <w:ind w:firstLine="420" w:firstLineChars="200"/>
      </w:pPr>
      <w:r>
        <w:t>X线：可见肺淤血、心脏增大等表现，尤其是心影呈球形增大伴搏动减弱，而这些异常无其他原因（如心包积液）可以解释。</w:t>
      </w:r>
    </w:p>
    <w:p>
      <w:pPr>
        <w:adjustRightInd w:val="0"/>
        <w:snapToGrid w:val="0"/>
        <w:spacing w:line="500" w:lineRule="exact"/>
        <w:ind w:firstLine="420" w:firstLineChars="200"/>
      </w:pPr>
      <w:r>
        <w:t>超声心动图：可疑病例可作此项检查，对于心肌病的诊断具有重要价值，可显示心脏的解剖结构、室壁活动度、血流信息和心脏功能情况等。</w:t>
      </w:r>
    </w:p>
    <w:p>
      <w:pPr>
        <w:adjustRightInd w:val="0"/>
        <w:snapToGrid w:val="0"/>
        <w:spacing w:line="500" w:lineRule="exact"/>
        <w:ind w:firstLine="411" w:firstLineChars="196"/>
        <w:rPr>
          <w:rFonts w:eastAsia="黑体"/>
          <w:bCs/>
        </w:rPr>
      </w:pPr>
      <w:r>
        <w:rPr>
          <w:rFonts w:eastAsia="黑体"/>
          <w:bCs/>
        </w:rPr>
        <w:t>1.2.3  冠心病</w:t>
      </w:r>
    </w:p>
    <w:p>
      <w:pPr>
        <w:adjustRightInd w:val="0"/>
        <w:snapToGrid w:val="0"/>
        <w:spacing w:line="500" w:lineRule="exact"/>
        <w:ind w:firstLine="420" w:firstLineChars="200"/>
      </w:pPr>
      <w:r>
        <w:t>1）病史询问要点：以往有无心绞痛或心肌梗死发作史，发病及诊治情况。</w:t>
      </w:r>
    </w:p>
    <w:p>
      <w:pPr>
        <w:adjustRightInd w:val="0"/>
        <w:snapToGrid w:val="0"/>
        <w:spacing w:line="500" w:lineRule="exact"/>
        <w:ind w:firstLine="420" w:firstLineChars="200"/>
      </w:pPr>
      <w:r>
        <w:t>2）体格检查要点：在非发作期一般没有特殊阳性体征。</w:t>
      </w:r>
    </w:p>
    <w:p>
      <w:pPr>
        <w:adjustRightInd w:val="0"/>
        <w:snapToGrid w:val="0"/>
        <w:spacing w:line="500" w:lineRule="exact"/>
        <w:ind w:firstLine="420" w:firstLineChars="200"/>
      </w:pPr>
      <w:r>
        <w:t>3）辅助检查要点：</w:t>
      </w:r>
    </w:p>
    <w:p>
      <w:pPr>
        <w:adjustRightInd w:val="0"/>
        <w:snapToGrid w:val="0"/>
        <w:spacing w:line="500" w:lineRule="exact"/>
        <w:ind w:firstLine="420" w:firstLineChars="200"/>
      </w:pPr>
      <w:r>
        <w:t>心电图：因心肌缺血部位不同，心电图的改变也不一样。主要表现为特征性ST段及T波改变；心肌坏死时可出现病理性Q波；心肌缺血也可造成室内传导障碍，表现为各种传导阻滞，如左前分支阻滞、完全性左束支阻滞、完全性右束支阻滞、左后分支阻滞等；还可出现各种心律失常。</w:t>
      </w:r>
    </w:p>
    <w:p>
      <w:pPr>
        <w:adjustRightInd w:val="0"/>
        <w:snapToGrid w:val="0"/>
        <w:spacing w:line="500" w:lineRule="exact"/>
        <w:ind w:firstLine="420" w:firstLineChars="200"/>
      </w:pPr>
      <w:r>
        <w:t>需要注意的是，虽然心电图对于诊断冠心病有重要意义，但有些心电图改变并不是特异性的，这种情况下仅通过心电图诊断冠心病并不可靠；患冠心病者也不一定有心电图改变。对于公务员录用体检来说，发现心电图的异常病理性改变即可作出不合格的结论，并不一定非要明确诊断冠心病。</w:t>
      </w:r>
    </w:p>
    <w:p>
      <w:pPr>
        <w:adjustRightInd w:val="0"/>
        <w:snapToGrid w:val="0"/>
        <w:spacing w:line="500" w:lineRule="exact"/>
        <w:ind w:firstLine="420" w:firstLineChars="200"/>
      </w:pPr>
      <w:r>
        <w:t>对可疑病例，必要时可根据条件做进一步检查，如运动试验等，但因考生有可能隐瞒患有冠心病的病史，所以检查前要和考生讲清楚，考生必须签字，检查过程中更要注意观察，以免发生意外。</w:t>
      </w:r>
    </w:p>
    <w:p>
      <w:pPr>
        <w:adjustRightInd w:val="0"/>
        <w:snapToGrid w:val="0"/>
        <w:spacing w:line="500" w:lineRule="exact"/>
        <w:ind w:firstLine="411" w:firstLineChars="196"/>
        <w:rPr>
          <w:rFonts w:eastAsia="黑体"/>
          <w:bCs/>
        </w:rPr>
      </w:pPr>
      <w:r>
        <w:rPr>
          <w:rFonts w:eastAsia="黑体"/>
          <w:bCs/>
        </w:rPr>
        <w:t>1.2.4  先天性心脏病</w:t>
      </w:r>
    </w:p>
    <w:p>
      <w:pPr>
        <w:adjustRightInd w:val="0"/>
        <w:snapToGrid w:val="0"/>
        <w:spacing w:line="500" w:lineRule="exact"/>
        <w:ind w:firstLine="420" w:firstLineChars="200"/>
      </w:pPr>
      <w:r>
        <w:t>1）病史询问要点：有无经过确诊的“先天性心脏病”病史，有无活动后心慌、气短、活动耐量减少，有无发绀、经常患呼吸道感染等病史。</w:t>
      </w:r>
    </w:p>
    <w:p>
      <w:pPr>
        <w:adjustRightInd w:val="0"/>
        <w:snapToGrid w:val="0"/>
        <w:spacing w:line="500" w:lineRule="exact"/>
        <w:ind w:firstLine="420" w:firstLineChars="200"/>
      </w:pPr>
      <w: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adjustRightInd w:val="0"/>
        <w:snapToGrid w:val="0"/>
        <w:spacing w:line="500" w:lineRule="exact"/>
        <w:ind w:firstLine="420" w:firstLineChars="200"/>
      </w:pPr>
      <w:r>
        <w:t>3）辅助检查要点：</w:t>
      </w:r>
    </w:p>
    <w:p>
      <w:pPr>
        <w:adjustRightInd w:val="0"/>
        <w:snapToGrid w:val="0"/>
        <w:spacing w:line="500" w:lineRule="exact"/>
        <w:ind w:firstLine="420" w:firstLineChars="200"/>
      </w:pPr>
      <w:r>
        <w:t>心电图：注意有无心房或心室肥大、束支传导阻滞、各种心律失常等表现。</w:t>
      </w:r>
    </w:p>
    <w:p>
      <w:pPr>
        <w:adjustRightInd w:val="0"/>
        <w:snapToGrid w:val="0"/>
        <w:spacing w:line="500" w:lineRule="exact"/>
        <w:ind w:firstLine="420" w:firstLineChars="200"/>
      </w:pPr>
      <w:r>
        <w:t>X线：注意有无肺血异常，有无肺动脉段凸出，主动脉结大小，有无左或右心室增大。</w:t>
      </w:r>
    </w:p>
    <w:p>
      <w:pPr>
        <w:adjustRightInd w:val="0"/>
        <w:snapToGrid w:val="0"/>
        <w:spacing w:line="500" w:lineRule="exact"/>
        <w:ind w:firstLine="420" w:firstLineChars="200"/>
      </w:pPr>
      <w:r>
        <w:t>超声心动图：发现可疑病理性杂音特别是怀疑为先天性心脏病者，均应常规做超声心动图检查。</w:t>
      </w:r>
    </w:p>
    <w:p>
      <w:pPr>
        <w:adjustRightInd w:val="0"/>
        <w:snapToGrid w:val="0"/>
        <w:spacing w:line="500" w:lineRule="exact"/>
        <w:ind w:firstLine="420" w:firstLineChars="200"/>
      </w:pPr>
      <w: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adjustRightInd w:val="0"/>
        <w:snapToGrid w:val="0"/>
        <w:spacing w:line="500" w:lineRule="exact"/>
        <w:rPr>
          <w:rFonts w:eastAsia="黑体"/>
          <w:b/>
          <w:bCs/>
        </w:rPr>
      </w:pPr>
      <w:r>
        <w:rPr>
          <w:rFonts w:hint="eastAsia" w:eastAsia="黑体"/>
          <w:b/>
          <w:bCs/>
        </w:rPr>
        <w:t xml:space="preserve">    </w:t>
      </w:r>
      <w:r>
        <w:rPr>
          <w:rFonts w:eastAsia="黑体"/>
          <w:b/>
          <w:bCs/>
        </w:rPr>
        <w:t>1.3  注意事项</w:t>
      </w:r>
    </w:p>
    <w:p>
      <w:pPr>
        <w:adjustRightInd w:val="0"/>
        <w:snapToGrid w:val="0"/>
        <w:spacing w:line="500" w:lineRule="exact"/>
        <w:ind w:firstLine="420" w:firstLineChars="200"/>
      </w:pPr>
      <w:r>
        <w:rPr>
          <w:bCs/>
        </w:rPr>
        <w:t xml:space="preserve">1.3.1  关于“心脏听诊有杂音”  </w:t>
      </w:r>
      <w: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检，当心率和血压趋向正常后杂音级别能达到规定级别，仍可认为是生理性杂音。对杂音定性无把握时，应做超声心动图等相关检查。</w:t>
      </w:r>
    </w:p>
    <w:p>
      <w:pPr>
        <w:adjustRightInd w:val="0"/>
        <w:snapToGrid w:val="0"/>
        <w:spacing w:line="500" w:lineRule="exact"/>
        <w:ind w:firstLine="435"/>
      </w:pPr>
      <w:r>
        <w:rPr>
          <w:bCs/>
        </w:rPr>
        <w:t>1.3.2  关于“每分钟6次以上的频发期前收缩”。</w:t>
      </w:r>
      <w:r>
        <w:t>可进一步做超声心动图等检查，检查结果未发现异常者，应作合格结论。注意，对频发期前收缩不可用24小时心电图作为诊断（因考生有作弊的机会，造成结果无效）。</w:t>
      </w:r>
    </w:p>
    <w:p>
      <w:pPr>
        <w:adjustRightInd w:val="0"/>
        <w:snapToGrid w:val="0"/>
        <w:spacing w:line="500" w:lineRule="exact"/>
        <w:ind w:firstLine="420" w:firstLineChars="200"/>
      </w:pPr>
      <w:r>
        <w:rPr>
          <w:color w:val="000000"/>
        </w:rPr>
        <w:t>对</w:t>
      </w:r>
      <w:r>
        <w:t>病理性心电图，应当场复检心电图，如无变化，作不合格结论。事后不再安排复检。</w:t>
      </w:r>
    </w:p>
    <w:p>
      <w:pPr>
        <w:adjustRightInd w:val="0"/>
        <w:snapToGrid w:val="0"/>
        <w:spacing w:line="500" w:lineRule="exact"/>
        <w:ind w:firstLine="420" w:firstLineChars="200"/>
        <w:rPr>
          <w:bCs/>
        </w:rPr>
      </w:pPr>
      <w:r>
        <w:rPr>
          <w:bCs/>
        </w:rPr>
        <w:t>1.3.3  关于“心率每分钟大于110次/分钟或小于50次/分钟”</w:t>
      </w:r>
    </w:p>
    <w:p>
      <w:pPr>
        <w:adjustRightInd w:val="0"/>
        <w:snapToGrid w:val="0"/>
        <w:spacing w:line="500" w:lineRule="exact"/>
        <w:ind w:firstLine="420" w:firstLineChars="200"/>
      </w:pPr>
      <w:r>
        <w:t>1）对有确实证据证实为运动员心脏、身体素质好的窦性心动过缓、心率略低于50次/分钟者，可以作为个案研究处理，对确属“运动员心脏”的考生，按体检合格对待。</w:t>
      </w:r>
    </w:p>
    <w:p>
      <w:pPr>
        <w:adjustRightInd w:val="0"/>
        <w:snapToGrid w:val="0"/>
        <w:spacing w:line="500" w:lineRule="exact"/>
        <w:ind w:firstLine="420" w:firstLineChars="200"/>
        <w:rPr>
          <w:rFonts w:hint="eastAsia" w:ascii="宋体" w:hAnsi="宋体" w:cs="宋体"/>
          <w:bCs/>
        </w:rPr>
      </w:pPr>
      <w:r>
        <w:t>2）对心率持续大于110次/分钟或</w:t>
      </w:r>
      <w:r>
        <w:rPr>
          <w:bCs/>
        </w:rPr>
        <w:t>小于</w:t>
      </w:r>
      <w:r>
        <w:t>50次/分钟，应做进一步检查，譬如</w:t>
      </w:r>
      <w:r>
        <w:rPr>
          <w:rFonts w:hint="eastAsia" w:ascii="宋体" w:hAnsi="宋体" w:cs="宋体"/>
          <w:bCs/>
          <w:szCs w:val="21"/>
        </w:rPr>
        <w:t>超声心动图、甲状腺功能检测等，对未发现病理性原因所致者，按体检合格对待；对听诊心率</w:t>
      </w:r>
      <w:r>
        <w:rPr>
          <w:rFonts w:hint="eastAsia" w:ascii="宋体" w:hAnsi="宋体" w:cs="宋体"/>
          <w:bCs/>
        </w:rPr>
        <w:t>正常而心电图心率增快，两者不一致时，以听诊心率结果为准。</w:t>
      </w:r>
    </w:p>
    <w:p>
      <w:pPr>
        <w:adjustRightInd w:val="0"/>
        <w:snapToGrid w:val="0"/>
        <w:spacing w:line="500" w:lineRule="exact"/>
        <w:ind w:firstLine="420" w:firstLineChars="200"/>
      </w:pPr>
      <w:r>
        <w:t>3）对明确的的病理性杂音，理论上也应当场复检，如无变化，一般情况下可以作出不合格结论。但鉴于某些轻度的心脏病（见1.1.4，属体检合格）也可表现为病理性杂音，因此，从人文主义角度考虑，建议最好先做超声心动图检查确认诊断，对不能确诊疾病（严重的器质性心脏病或轻度先天性心脏病）者，再进行当场复检，当场复检应换其他专家进行，只复检一次，并以当场复检结果作为是否合格的依据。</w:t>
      </w:r>
    </w:p>
    <w:p>
      <w:pPr>
        <w:adjustRightInd w:val="0"/>
        <w:snapToGrid w:val="0"/>
        <w:spacing w:line="500" w:lineRule="exact"/>
        <w:rPr>
          <w:rFonts w:eastAsia="黑体"/>
          <w:b/>
          <w:bCs/>
          <w:color w:val="000000"/>
        </w:rPr>
      </w:pPr>
    </w:p>
    <w:p>
      <w:pPr>
        <w:pStyle w:val="3"/>
        <w:adjustRightInd w:val="0"/>
        <w:snapToGrid w:val="0"/>
        <w:spacing w:before="0" w:after="0" w:line="500" w:lineRule="exact"/>
        <w:rPr>
          <w:rFonts w:hint="eastAsia" w:ascii="黑体" w:hAnsi="黑体" w:eastAsia="黑体" w:cs="黑体"/>
          <w:sz w:val="21"/>
          <w:szCs w:val="21"/>
        </w:rPr>
      </w:pPr>
      <w:bookmarkStart w:id="17" w:name="_Toc391888325"/>
      <w:r>
        <w:rPr>
          <w:rFonts w:hint="eastAsia" w:ascii="黑体" w:hAnsi="黑体" w:eastAsia="黑体" w:cs="黑体"/>
          <w:sz w:val="21"/>
          <w:szCs w:val="21"/>
        </w:rPr>
        <w:t>2  关于血压</w:t>
      </w:r>
      <w:bookmarkEnd w:id="17"/>
    </w:p>
    <w:p>
      <w:pPr>
        <w:numPr>
          <w:ilvl w:val="0"/>
          <w:numId w:val="2"/>
        </w:numPr>
        <w:adjustRightInd w:val="0"/>
        <w:snapToGrid w:val="0"/>
        <w:spacing w:line="500" w:lineRule="exact"/>
        <w:ind w:firstLine="422" w:firstLineChars="200"/>
        <w:rPr>
          <w:rFonts w:eastAsia="楷体_GB2312"/>
          <w:b/>
          <w:bCs/>
          <w:color w:val="000000"/>
        </w:rPr>
      </w:pPr>
      <w:r>
        <w:rPr>
          <w:rFonts w:eastAsia="楷体_GB2312"/>
          <w:b/>
          <w:bCs/>
          <w:color w:val="000000"/>
        </w:rPr>
        <w:t xml:space="preserve"> 血压在下列范围内，合格：</w:t>
      </w:r>
    </w:p>
    <w:p>
      <w:pPr>
        <w:adjustRightInd w:val="0"/>
        <w:snapToGrid w:val="0"/>
        <w:spacing w:line="500" w:lineRule="exact"/>
        <w:rPr>
          <w:rFonts w:eastAsia="楷体_GB2312"/>
          <w:b/>
          <w:bCs/>
          <w:color w:val="000000"/>
        </w:rPr>
      </w:pPr>
      <w:r>
        <w:rPr>
          <w:rFonts w:hint="eastAsia" w:eastAsia="楷体_GB2312"/>
          <w:b/>
          <w:bCs/>
          <w:color w:val="000000"/>
        </w:rPr>
        <w:t xml:space="preserve">    收缩压小于140mmHg; 舒张压小于90mmHg。</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2.1  条文解释</w:t>
      </w:r>
    </w:p>
    <w:p>
      <w:pPr>
        <w:adjustRightInd w:val="0"/>
        <w:snapToGrid w:val="0"/>
        <w:spacing w:line="500" w:lineRule="exact"/>
        <w:ind w:firstLine="420"/>
      </w:pPr>
      <w:r>
        <w:t>本条款的含义是指收缩压≥140</w:t>
      </w:r>
      <w:r>
        <w:rPr>
          <w:rFonts w:hint="eastAsia" w:eastAsia="楷体_GB2312"/>
        </w:rPr>
        <w:t xml:space="preserve">mm </w:t>
      </w:r>
      <w:r>
        <w:rPr>
          <w:rFonts w:eastAsia="楷体_GB2312"/>
        </w:rPr>
        <w:t>Hg</w:t>
      </w:r>
      <w:r>
        <w:t>和（或）舒张压≥90</w:t>
      </w:r>
      <w:r>
        <w:rPr>
          <w:rFonts w:hint="eastAsia" w:eastAsia="楷体_GB2312"/>
        </w:rPr>
        <w:t xml:space="preserve">mm </w:t>
      </w:r>
      <w:r>
        <w:rPr>
          <w:rFonts w:eastAsia="楷体_GB2312"/>
        </w:rPr>
        <w:t>Hg</w:t>
      </w:r>
      <w:r>
        <w:t>，不合格。</w:t>
      </w:r>
    </w:p>
    <w:p>
      <w:pPr>
        <w:adjustRightInd w:val="0"/>
        <w:snapToGrid w:val="0"/>
        <w:spacing w:line="500" w:lineRule="exact"/>
        <w:ind w:firstLine="420"/>
      </w:pPr>
      <w:r>
        <w:t>本条款制定的目的是排除血压高患者。在临床医学上，诊断血压高，都是以人的基础血压为依据的。所谓基础血压，是指在排除其他影响因素（如服用降压药物、精神紧张、环境因素等）的情况下，采用规范的血压测量方法测得的血压。</w:t>
      </w:r>
    </w:p>
    <w:p>
      <w:pPr>
        <w:adjustRightInd w:val="0"/>
        <w:snapToGrid w:val="0"/>
        <w:spacing w:line="500" w:lineRule="exact"/>
        <w:ind w:firstLine="420" w:firstLineChars="200"/>
      </w:pPr>
      <w:r>
        <w:t>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无论是原发性或继发性高血压，一经诊断均作不合格结论。</w:t>
      </w:r>
    </w:p>
    <w:p>
      <w:pPr>
        <w:adjustRightInd w:val="0"/>
        <w:snapToGrid w:val="0"/>
        <w:spacing w:line="500" w:lineRule="exact"/>
        <w:ind w:firstLine="420" w:firstLineChars="200"/>
      </w:pPr>
      <w:r>
        <w:t>采用《2005年中国高血压防治指南》（修订版）血压水平的定义和分类，根据非药物状态下收缩压和/或舒张压水平，将血压分为正常、正常高值、1级高血压、2级高血压、3级高血压、单纯收缩期高血压等若干类别，详见表4。</w:t>
      </w:r>
    </w:p>
    <w:p>
      <w:pPr>
        <w:adjustRightInd w:val="0"/>
        <w:snapToGrid w:val="0"/>
        <w:spacing w:line="500" w:lineRule="exact"/>
        <w:ind w:firstLine="420"/>
        <w:jc w:val="center"/>
        <w:rPr>
          <w:b/>
          <w:bCs/>
        </w:rPr>
      </w:pPr>
      <w:r>
        <w:rPr>
          <w:rFonts w:eastAsia="黑体"/>
          <w:bCs/>
        </w:rPr>
        <w:t>表4</w:t>
      </w:r>
      <w:r>
        <w:rPr>
          <w:b/>
          <w:bCs/>
        </w:rPr>
        <w:t xml:space="preserve">  </w:t>
      </w:r>
      <w:r>
        <w:rPr>
          <w:bCs/>
        </w:rPr>
        <w:t>血压水平的定义和分类</w:t>
      </w:r>
    </w:p>
    <w:tbl>
      <w:tblPr>
        <w:tblStyle w:val="14"/>
        <w:tblW w:w="0" w:type="auto"/>
        <w:jc w:val="center"/>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PrEx>
        <w:trPr>
          <w:jc w:val="center"/>
        </w:trPr>
        <w:tc>
          <w:tcPr>
            <w:tcW w:w="3648" w:type="dxa"/>
            <w:noWrap w:val="0"/>
            <w:vAlign w:val="top"/>
          </w:tcPr>
          <w:p>
            <w:pPr>
              <w:adjustRightInd w:val="0"/>
              <w:snapToGrid w:val="0"/>
              <w:spacing w:line="500" w:lineRule="exact"/>
            </w:pPr>
            <w:r>
              <w:t>类别</w:t>
            </w:r>
          </w:p>
        </w:tc>
        <w:tc>
          <w:tcPr>
            <w:tcW w:w="3149" w:type="dxa"/>
            <w:noWrap w:val="0"/>
            <w:vAlign w:val="top"/>
          </w:tcPr>
          <w:p>
            <w:pPr>
              <w:adjustRightInd w:val="0"/>
              <w:snapToGrid w:val="0"/>
              <w:spacing w:line="500" w:lineRule="exact"/>
            </w:pPr>
            <w:r>
              <w:t>收缩压（</w:t>
            </w:r>
            <w:r>
              <w:rPr>
                <w:rFonts w:hint="eastAsia" w:eastAsia="楷体_GB2312"/>
              </w:rPr>
              <w:t xml:space="preserve">mm </w:t>
            </w:r>
            <w:r>
              <w:rPr>
                <w:rFonts w:eastAsia="楷体_GB2312"/>
              </w:rPr>
              <w:t>Hg</w:t>
            </w:r>
            <w:r>
              <w:t>）</w:t>
            </w:r>
          </w:p>
        </w:tc>
        <w:tc>
          <w:tcPr>
            <w:tcW w:w="1699" w:type="dxa"/>
            <w:noWrap w:val="0"/>
            <w:vAlign w:val="top"/>
          </w:tcPr>
          <w:p>
            <w:pPr>
              <w:adjustRightInd w:val="0"/>
              <w:snapToGrid w:val="0"/>
              <w:spacing w:line="500" w:lineRule="exact"/>
            </w:pPr>
            <w:r>
              <w:t>舒张压（</w:t>
            </w:r>
            <w:r>
              <w:rPr>
                <w:rFonts w:hint="eastAsia" w:eastAsia="楷体_GB2312"/>
              </w:rPr>
              <w:t>mm</w:t>
            </w:r>
            <w:r>
              <w:rPr>
                <w:rFonts w:eastAsia="楷体_GB2312"/>
              </w:rPr>
              <w:t xml:space="preserve"> Hg</w:t>
            </w:r>
            <w:r>
              <w:t>）</w:t>
            </w: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108" w:type="dxa"/>
            <w:bottom w:w="0" w:type="dxa"/>
            <w:right w:w="108" w:type="dxa"/>
          </w:tblCellMar>
        </w:tblPrEx>
        <w:trPr>
          <w:jc w:val="center"/>
        </w:trPr>
        <w:tc>
          <w:tcPr>
            <w:tcW w:w="3648" w:type="dxa"/>
            <w:noWrap w:val="0"/>
            <w:tcMar>
              <w:top w:w="57" w:type="dxa"/>
              <w:bottom w:w="57" w:type="dxa"/>
            </w:tcMar>
            <w:vAlign w:val="top"/>
          </w:tcPr>
          <w:p>
            <w:pPr>
              <w:adjustRightInd w:val="0"/>
              <w:snapToGrid w:val="0"/>
              <w:spacing w:line="500" w:lineRule="exact"/>
            </w:pPr>
            <w:r>
              <w:t>正常血压</w:t>
            </w:r>
          </w:p>
          <w:p>
            <w:pPr>
              <w:adjustRightInd w:val="0"/>
              <w:snapToGrid w:val="0"/>
              <w:spacing w:line="500" w:lineRule="exact"/>
            </w:pPr>
            <w:r>
              <w:t>正常高值</w:t>
            </w:r>
          </w:p>
          <w:p>
            <w:pPr>
              <w:adjustRightInd w:val="0"/>
              <w:snapToGrid w:val="0"/>
              <w:spacing w:line="500" w:lineRule="exact"/>
            </w:pPr>
            <w:r>
              <w:t>高血压</w:t>
            </w:r>
          </w:p>
          <w:p>
            <w:pPr>
              <w:adjustRightInd w:val="0"/>
              <w:snapToGrid w:val="0"/>
              <w:spacing w:line="500" w:lineRule="exact"/>
              <w:ind w:firstLine="210" w:firstLineChars="100"/>
            </w:pPr>
            <w:r>
              <w:t>1级高血压（轻度）</w:t>
            </w:r>
          </w:p>
          <w:p>
            <w:pPr>
              <w:adjustRightInd w:val="0"/>
              <w:snapToGrid w:val="0"/>
              <w:spacing w:line="500" w:lineRule="exact"/>
              <w:ind w:firstLine="210" w:firstLineChars="100"/>
            </w:pPr>
            <w:r>
              <w:t>2级高血压（中度）</w:t>
            </w:r>
          </w:p>
          <w:p>
            <w:pPr>
              <w:adjustRightInd w:val="0"/>
              <w:snapToGrid w:val="0"/>
              <w:spacing w:line="500" w:lineRule="exact"/>
              <w:ind w:firstLine="210" w:firstLineChars="100"/>
            </w:pPr>
            <w:r>
              <w:t>3级高血压（重度）</w:t>
            </w:r>
          </w:p>
          <w:p>
            <w:pPr>
              <w:adjustRightInd w:val="0"/>
              <w:snapToGrid w:val="0"/>
              <w:spacing w:line="500" w:lineRule="exact"/>
            </w:pPr>
            <w:r>
              <w:t xml:space="preserve">单纯收缩期高血压 </w:t>
            </w:r>
          </w:p>
        </w:tc>
        <w:tc>
          <w:tcPr>
            <w:tcW w:w="3149" w:type="dxa"/>
            <w:noWrap w:val="0"/>
            <w:tcMar>
              <w:top w:w="57" w:type="dxa"/>
              <w:bottom w:w="57" w:type="dxa"/>
            </w:tcMar>
            <w:vAlign w:val="top"/>
          </w:tcPr>
          <w:p>
            <w:pPr>
              <w:adjustRightInd w:val="0"/>
              <w:snapToGrid w:val="0"/>
              <w:spacing w:line="500" w:lineRule="exact"/>
            </w:pPr>
            <w:r>
              <w:t>&lt;120</w:t>
            </w:r>
          </w:p>
          <w:p>
            <w:pPr>
              <w:adjustRightInd w:val="0"/>
              <w:snapToGrid w:val="0"/>
              <w:spacing w:line="500" w:lineRule="exact"/>
            </w:pPr>
            <w:r>
              <w:t>120</w:t>
            </w:r>
            <w:r>
              <w:rPr>
                <w:bCs/>
              </w:rPr>
              <w:t>～</w:t>
            </w:r>
            <w:r>
              <w:t>139</w:t>
            </w:r>
          </w:p>
          <w:p>
            <w:pPr>
              <w:adjustRightInd w:val="0"/>
              <w:snapToGrid w:val="0"/>
              <w:spacing w:line="500" w:lineRule="exact"/>
            </w:pPr>
            <w:r>
              <w:t>≥140</w:t>
            </w:r>
          </w:p>
          <w:p>
            <w:pPr>
              <w:adjustRightInd w:val="0"/>
              <w:snapToGrid w:val="0"/>
              <w:spacing w:line="500" w:lineRule="exact"/>
            </w:pPr>
            <w:r>
              <w:t>140</w:t>
            </w:r>
            <w:r>
              <w:rPr>
                <w:bCs/>
              </w:rPr>
              <w:t>～</w:t>
            </w:r>
            <w:r>
              <w:t>159</w:t>
            </w:r>
          </w:p>
          <w:p>
            <w:pPr>
              <w:adjustRightInd w:val="0"/>
              <w:snapToGrid w:val="0"/>
              <w:spacing w:line="500" w:lineRule="exact"/>
            </w:pPr>
            <w:r>
              <w:t>160</w:t>
            </w:r>
            <w:r>
              <w:rPr>
                <w:bCs/>
              </w:rPr>
              <w:t>～</w:t>
            </w:r>
            <w:r>
              <w:t>179</w:t>
            </w:r>
          </w:p>
          <w:p>
            <w:pPr>
              <w:adjustRightInd w:val="0"/>
              <w:snapToGrid w:val="0"/>
              <w:spacing w:line="500" w:lineRule="exact"/>
            </w:pPr>
            <w:r>
              <w:t>≥180</w:t>
            </w:r>
          </w:p>
          <w:p>
            <w:pPr>
              <w:adjustRightInd w:val="0"/>
              <w:snapToGrid w:val="0"/>
              <w:spacing w:line="500" w:lineRule="exact"/>
            </w:pPr>
            <w:r>
              <w:t>≥140</w:t>
            </w:r>
          </w:p>
        </w:tc>
        <w:tc>
          <w:tcPr>
            <w:tcW w:w="1699" w:type="dxa"/>
            <w:noWrap w:val="0"/>
            <w:tcMar>
              <w:top w:w="57" w:type="dxa"/>
              <w:bottom w:w="57" w:type="dxa"/>
            </w:tcMar>
            <w:vAlign w:val="top"/>
          </w:tcPr>
          <w:p>
            <w:pPr>
              <w:adjustRightInd w:val="0"/>
              <w:snapToGrid w:val="0"/>
              <w:spacing w:line="500" w:lineRule="exact"/>
            </w:pPr>
            <w:r>
              <w:t>&lt;80</w:t>
            </w:r>
          </w:p>
          <w:p>
            <w:pPr>
              <w:adjustRightInd w:val="0"/>
              <w:snapToGrid w:val="0"/>
              <w:spacing w:line="500" w:lineRule="exact"/>
            </w:pPr>
            <w:r>
              <w:t>80</w:t>
            </w:r>
            <w:r>
              <w:rPr>
                <w:bCs/>
              </w:rPr>
              <w:t>～</w:t>
            </w:r>
            <w:r>
              <w:t>89</w:t>
            </w:r>
          </w:p>
          <w:p>
            <w:pPr>
              <w:adjustRightInd w:val="0"/>
              <w:snapToGrid w:val="0"/>
              <w:spacing w:line="500" w:lineRule="exact"/>
            </w:pPr>
            <w:r>
              <w:t>≥90</w:t>
            </w:r>
          </w:p>
          <w:p>
            <w:pPr>
              <w:adjustRightInd w:val="0"/>
              <w:snapToGrid w:val="0"/>
              <w:spacing w:line="500" w:lineRule="exact"/>
            </w:pPr>
            <w:r>
              <w:t>90</w:t>
            </w:r>
            <w:r>
              <w:rPr>
                <w:bCs/>
              </w:rPr>
              <w:t>～</w:t>
            </w:r>
            <w:r>
              <w:t>99</w:t>
            </w:r>
          </w:p>
          <w:p>
            <w:pPr>
              <w:adjustRightInd w:val="0"/>
              <w:snapToGrid w:val="0"/>
              <w:spacing w:line="500" w:lineRule="exact"/>
            </w:pPr>
            <w:r>
              <w:t>100</w:t>
            </w:r>
            <w:r>
              <w:rPr>
                <w:bCs/>
              </w:rPr>
              <w:t>～</w:t>
            </w:r>
            <w:r>
              <w:t>109</w:t>
            </w:r>
          </w:p>
          <w:p>
            <w:pPr>
              <w:adjustRightInd w:val="0"/>
              <w:snapToGrid w:val="0"/>
              <w:spacing w:line="500" w:lineRule="exact"/>
            </w:pPr>
            <w:r>
              <w:t>≥110</w:t>
            </w:r>
          </w:p>
          <w:p>
            <w:pPr>
              <w:adjustRightInd w:val="0"/>
              <w:snapToGrid w:val="0"/>
              <w:spacing w:line="500" w:lineRule="exact"/>
            </w:pPr>
            <w:r>
              <w:t>&lt;90</w:t>
            </w:r>
          </w:p>
        </w:tc>
      </w:tr>
    </w:tbl>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2.2  诊断要点</w:t>
      </w:r>
    </w:p>
    <w:p>
      <w:pPr>
        <w:adjustRightInd w:val="0"/>
        <w:snapToGrid w:val="0"/>
        <w:spacing w:line="500" w:lineRule="exact"/>
        <w:ind w:firstLine="420" w:firstLineChars="200"/>
      </w:pPr>
      <w:r>
        <w:rPr>
          <w:bCs/>
        </w:rPr>
        <w:t xml:space="preserve">血压升高  </w:t>
      </w:r>
      <w:r>
        <w:t xml:space="preserve">是指在未服药、血压的测量和认定方法基本符合条件（即测得的血压基本能代表其基础血压）的情况下，成年人（年龄大于18岁）收缩压≥140 </w:t>
      </w:r>
      <w:r>
        <w:rPr>
          <w:rFonts w:hint="eastAsia" w:eastAsia="楷体_GB2312"/>
        </w:rPr>
        <w:t xml:space="preserve">mm </w:t>
      </w:r>
      <w:r>
        <w:t xml:space="preserve">Hg和（或）舒张压≥90 </w:t>
      </w:r>
      <w:r>
        <w:rPr>
          <w:rFonts w:hint="eastAsia" w:eastAsia="楷体_GB2312"/>
        </w:rPr>
        <w:t>mm</w:t>
      </w:r>
      <w:r>
        <w:t xml:space="preserve"> Hg。</w:t>
      </w:r>
    </w:p>
    <w:p>
      <w:pPr>
        <w:adjustRightInd w:val="0"/>
        <w:snapToGrid w:val="0"/>
        <w:spacing w:line="500" w:lineRule="exact"/>
        <w:ind w:firstLine="420" w:firstLineChars="200"/>
      </w:pPr>
      <w:r>
        <w:t>1）病史询问要点：高血压可以没有任何症状，故应重点询问以往有无高血压史及波动情况，是否曾服药治疗，特别是近1周内有无服用降压药。</w:t>
      </w:r>
    </w:p>
    <w:p>
      <w:pPr>
        <w:adjustRightInd w:val="0"/>
        <w:snapToGrid w:val="0"/>
        <w:spacing w:line="500" w:lineRule="exact"/>
        <w:ind w:firstLine="420" w:firstLineChars="200"/>
      </w:pPr>
      <w:r>
        <w:t>2）体格检查要点：按照操作规程正确测量血压（详见第1篇中有关内容），注意排除内、外在影响因素，力求测得基础血压。</w:t>
      </w:r>
    </w:p>
    <w:p>
      <w:pPr>
        <w:adjustRightInd w:val="0"/>
        <w:snapToGrid w:val="0"/>
        <w:spacing w:line="500" w:lineRule="exact"/>
        <w:ind w:firstLine="420" w:firstLineChars="200"/>
      </w:pPr>
      <w:r>
        <w:t>3）辅助检查要点：只要掌握正确测量方法并注意排除相关干扰因素，一般不需做辅助检查即可明确高血压诊断。</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2.3  注意事项</w:t>
      </w:r>
    </w:p>
    <w:p>
      <w:pPr>
        <w:adjustRightInd w:val="0"/>
        <w:snapToGrid w:val="0"/>
        <w:spacing w:line="500" w:lineRule="exact"/>
        <w:ind w:firstLine="420" w:firstLineChars="200"/>
      </w:pPr>
      <w:r>
        <w:t>2.3.1  关于影响血压测量结果因素的控制  在各种入职体检（包括公务员录用体检）中，血压测量都是一个容易发生偏差的项目，因此应特别注意以下几点：</w:t>
      </w:r>
    </w:p>
    <w:p>
      <w:pPr>
        <w:adjustRightInd w:val="0"/>
        <w:snapToGrid w:val="0"/>
        <w:spacing w:line="500" w:lineRule="exact"/>
        <w:ind w:firstLine="420" w:firstLineChars="200"/>
      </w:pPr>
      <w:r>
        <w:t>1）应事先对参检人员进行培训，合格后方可上岗体检。测血压的护士或内科医师、主检医师必须熟悉血压的正确测量方法和诊断标准。</w:t>
      </w:r>
    </w:p>
    <w:p>
      <w:pPr>
        <w:adjustRightInd w:val="0"/>
        <w:snapToGrid w:val="0"/>
        <w:spacing w:line="500" w:lineRule="exact"/>
        <w:ind w:firstLine="420" w:firstLineChars="200"/>
      </w:pPr>
      <w:r>
        <w:t>2）在大样本的群体体检中应做好血压测量和诊断、结论的质量控制，以便及时发现和纠正过宽、过严等倾向性问题。</w:t>
      </w:r>
    </w:p>
    <w:p>
      <w:pPr>
        <w:adjustRightInd w:val="0"/>
        <w:snapToGrid w:val="0"/>
        <w:spacing w:line="500" w:lineRule="exact"/>
        <w:ind w:firstLine="420" w:firstLineChars="200"/>
      </w:pPr>
      <w:r>
        <w:t>3）认真细致地做好有争议个体的复检、结论工作。</w:t>
      </w:r>
    </w:p>
    <w:p>
      <w:pPr>
        <w:adjustRightInd w:val="0"/>
        <w:snapToGrid w:val="0"/>
        <w:spacing w:line="500" w:lineRule="exact"/>
        <w:ind w:firstLine="420" w:firstLineChars="200"/>
      </w:pPr>
      <w:r>
        <w:t>2.3.2  关于基础血压的测量  为便于掌握，以下几条可作为取得基础血压的主要条件：</w:t>
      </w:r>
    </w:p>
    <w:p>
      <w:pPr>
        <w:adjustRightInd w:val="0"/>
        <w:snapToGrid w:val="0"/>
        <w:spacing w:line="500" w:lineRule="exact"/>
        <w:ind w:firstLine="420" w:firstLineChars="200"/>
      </w:pPr>
      <w:r>
        <w:t>1）受检者状态：近日无严重失眠、无高度精神压力和紧张情绪；近1周（通常与大多数降压药物的5个半衰期相近）内未服用各类有降或升血压作用的药物、保健品、某些食物等；测压前2小时内无较剧烈的体力、脑力活动；体检过程中避免精神亢奋、紧张，保持安静、从容、少语。</w:t>
      </w:r>
    </w:p>
    <w:p>
      <w:pPr>
        <w:adjustRightInd w:val="0"/>
        <w:snapToGrid w:val="0"/>
        <w:spacing w:line="500" w:lineRule="exact"/>
        <w:ind w:firstLine="420" w:firstLineChars="200"/>
      </w:pPr>
      <w:r>
        <w:t>2）体检场所：通风良好、温度适宜，无明显拥挤、嘈杂。</w:t>
      </w:r>
    </w:p>
    <w:p>
      <w:pPr>
        <w:adjustRightInd w:val="0"/>
        <w:snapToGrid w:val="0"/>
        <w:spacing w:line="500" w:lineRule="exact"/>
        <w:ind w:firstLine="420" w:firstLineChars="200"/>
      </w:pPr>
      <w:r>
        <w:t>3）血压测量室：室内相对面积宽松，除1名正在测量者外，只应留1名待检者。室外有待测休息室，每名受检者测压前应静坐休息5分钟，整个体检过程中受检者不能跑步、快速上下楼、说笑打闹等。</w:t>
      </w:r>
    </w:p>
    <w:p>
      <w:pPr>
        <w:adjustRightInd w:val="0"/>
        <w:snapToGrid w:val="0"/>
        <w:spacing w:line="500" w:lineRule="exact"/>
        <w:ind w:firstLine="420" w:firstLineChars="200"/>
      </w:pPr>
      <w:r>
        <w:t>4）血压计：使用符合国家计量标准的水银柱式血压计，事先应校正。</w:t>
      </w:r>
    </w:p>
    <w:p>
      <w:pPr>
        <w:adjustRightInd w:val="0"/>
        <w:snapToGrid w:val="0"/>
        <w:spacing w:line="500" w:lineRule="exact"/>
        <w:ind w:firstLine="420" w:firstLineChars="200"/>
      </w:pPr>
      <w:r>
        <w:t>5）正确测量血压及认定：详见本《手册》第1篇第1.1.2“血压测量”。</w:t>
      </w:r>
    </w:p>
    <w:p>
      <w:pPr>
        <w:adjustRightInd w:val="0"/>
        <w:snapToGrid w:val="0"/>
        <w:spacing w:line="500" w:lineRule="exact"/>
        <w:ind w:firstLine="420" w:firstLineChars="200"/>
      </w:pPr>
      <w: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adjustRightInd w:val="0"/>
        <w:snapToGrid w:val="0"/>
        <w:spacing w:line="500" w:lineRule="exact"/>
        <w:ind w:firstLine="420" w:firstLineChars="200"/>
      </w:pPr>
      <w:r>
        <w:t>7）关于血压的</w:t>
      </w:r>
      <w:r>
        <w:rPr>
          <w:rFonts w:hint="eastAsia"/>
        </w:rPr>
        <w:t>测量</w:t>
      </w:r>
      <w:r>
        <w:t>：首次测量血压高于合格标准者，</w:t>
      </w:r>
      <w:r>
        <w:rPr>
          <w:rFonts w:hint="eastAsia"/>
        </w:rPr>
        <w:t>可重复测量，每次间隔15-30分钟，</w:t>
      </w:r>
      <w:r>
        <w:t>以最好的一次检查结果为准。但如受检者的血压最终仍大于140/90</w:t>
      </w:r>
      <w:r>
        <w:rPr>
          <w:rFonts w:hint="eastAsia" w:eastAsia="楷体_GB2312"/>
        </w:rPr>
        <w:t xml:space="preserve">mm </w:t>
      </w:r>
      <w:r>
        <w:t>Hg，应作不合格结论，而不必考虑原因。</w:t>
      </w:r>
    </w:p>
    <w:p>
      <w:pPr>
        <w:adjustRightInd w:val="0"/>
        <w:snapToGrid w:val="0"/>
        <w:spacing w:line="500" w:lineRule="exact"/>
        <w:ind w:firstLine="420" w:firstLineChars="200"/>
      </w:pPr>
      <w:r>
        <w:t xml:space="preserve">2.3.3  关于血压合格与否的结论  </w:t>
      </w:r>
    </w:p>
    <w:p>
      <w:pPr>
        <w:adjustRightInd w:val="0"/>
        <w:snapToGrid w:val="0"/>
        <w:spacing w:line="500" w:lineRule="exact"/>
        <w:ind w:firstLine="420" w:firstLineChars="200"/>
      </w:pPr>
      <w:r>
        <w:t>1）既往有明确高血压病史且正在服用降压药物治疗者，即便本次血压测量值在正常范围，仍应诊断为高血压，不合格。</w:t>
      </w:r>
    </w:p>
    <w:p>
      <w:pPr>
        <w:adjustRightInd w:val="0"/>
        <w:snapToGrid w:val="0"/>
        <w:spacing w:line="500" w:lineRule="exact"/>
        <w:ind w:firstLine="420" w:firstLineChars="200"/>
      </w:pPr>
      <w:r>
        <w:t>2）有“高血压”病史但近1周内确实未服用降压药者，应以本次血压测量结果作为诊断和结论的依据，因为其体内已无降压药作用，本次测量值应视为其基础血压。</w:t>
      </w:r>
    </w:p>
    <w:p>
      <w:pPr>
        <w:adjustRightInd w:val="0"/>
        <w:snapToGrid w:val="0"/>
        <w:spacing w:line="500" w:lineRule="exact"/>
        <w:ind w:firstLine="420" w:firstLineChars="200"/>
      </w:pPr>
      <w:r>
        <w:t>3）病史中的“高血压”是病因明确的某种继发性高血压者，除非病因已彻底去除，否则一律作不合格结论。这是因为继发性高血压本身可能有血压波动（如嗜铬细胞瘤），且对健康和工作的影响多大于原发性高血压。</w:t>
      </w:r>
    </w:p>
    <w:p>
      <w:pPr>
        <w:adjustRightInd w:val="0"/>
        <w:snapToGrid w:val="0"/>
        <w:spacing w:line="500" w:lineRule="exact"/>
        <w:ind w:firstLine="420" w:firstLineChars="200"/>
      </w:pPr>
      <w:r>
        <w:t>2.3.4  对故意隐瞒高血压病史（包括服用降压药物史）者，按有关规定</w:t>
      </w:r>
      <w:r>
        <w:rPr>
          <w:rFonts w:hint="eastAsia"/>
        </w:rPr>
        <w:t>处</w:t>
      </w:r>
      <w:r>
        <w:t>理。</w:t>
      </w:r>
    </w:p>
    <w:p>
      <w:pPr>
        <w:adjustRightInd w:val="0"/>
        <w:snapToGrid w:val="0"/>
        <w:spacing w:line="500" w:lineRule="exact"/>
        <w:ind w:firstLine="420" w:firstLineChars="200"/>
      </w:pPr>
      <w:r>
        <w:t>2.3.5  关于对低血压的说明</w:t>
      </w:r>
    </w:p>
    <w:p>
      <w:pPr>
        <w:adjustRightInd w:val="0"/>
        <w:snapToGrid w:val="0"/>
        <w:spacing w:line="500" w:lineRule="exact"/>
        <w:ind w:firstLine="420" w:firstLineChars="200"/>
        <w:rPr>
          <w:b/>
          <w:color w:val="FF0000"/>
        </w:rPr>
      </w:pPr>
      <w:r>
        <w:t>体检中测得的血压低于90/60</w:t>
      </w:r>
      <w:r>
        <w:rPr>
          <w:rFonts w:hint="eastAsia"/>
        </w:rPr>
        <w:t>mm</w:t>
      </w:r>
      <w:r>
        <w:t>Hg时，诊断为低血压。这里的低血压指的是慢性低血压，分为体质性、体位性、继发性低血压3类。体检中遇到的一般均为体质性低血压。体质性低血压一般认为与遗传和体质过于瘦弱有关。理论上说，低血压状态有可能会导致血液循环缓慢，组织细胞缺血、缺氧，尤其影响大脑和心脏的血液供应，长期如此可使人体功能大大下降，严重时会影响到正常生活和工作。但在实践中，很多身材矮小、体质瘦弱的人血压常年偏低，但并未影响其日常工作，其中有很多人还成为各行各界的优秀人才，因此，体检中发现低血压，应按合格对待。</w:t>
      </w:r>
    </w:p>
    <w:p>
      <w:pPr>
        <w:adjustRightInd w:val="0"/>
        <w:snapToGrid w:val="0"/>
        <w:spacing w:line="500" w:lineRule="exact"/>
        <w:ind w:firstLine="420" w:firstLineChars="200"/>
      </w:pPr>
    </w:p>
    <w:p>
      <w:pPr>
        <w:pStyle w:val="3"/>
        <w:adjustRightInd w:val="0"/>
        <w:snapToGrid w:val="0"/>
        <w:spacing w:before="0" w:after="0" w:line="500" w:lineRule="exact"/>
        <w:rPr>
          <w:rFonts w:hint="eastAsia" w:ascii="黑体" w:hAnsi="黑体" w:eastAsia="黑体" w:cs="黑体"/>
          <w:sz w:val="21"/>
          <w:szCs w:val="21"/>
        </w:rPr>
      </w:pPr>
      <w:bookmarkStart w:id="18" w:name="_Toc391888326"/>
      <w:r>
        <w:rPr>
          <w:rFonts w:hint="eastAsia" w:ascii="黑体" w:hAnsi="黑体" w:eastAsia="黑体" w:cs="黑体"/>
          <w:sz w:val="21"/>
          <w:szCs w:val="21"/>
        </w:rPr>
        <w:t>3  关于血液系统疾病</w:t>
      </w:r>
      <w:bookmarkEnd w:id="18"/>
    </w:p>
    <w:p>
      <w:pPr>
        <w:adjustRightInd w:val="0"/>
        <w:snapToGrid w:val="0"/>
        <w:spacing w:line="500" w:lineRule="exact"/>
        <w:ind w:firstLine="422" w:firstLineChars="200"/>
        <w:rPr>
          <w:rFonts w:eastAsia="楷体_GB2312"/>
          <w:b/>
          <w:bCs/>
        </w:rPr>
      </w:pPr>
      <w:r>
        <w:rPr>
          <w:rFonts w:eastAsia="楷体_GB2312"/>
          <w:b/>
          <w:bCs/>
          <w:color w:val="000000"/>
        </w:rPr>
        <w:t>第三条  血液系统疾病，不合格。单纯性缺铁性贫血，血红蛋白男性高于90 g／L、女性高于</w:t>
      </w:r>
      <w:r>
        <w:rPr>
          <w:rFonts w:eastAsia="楷体_GB2312"/>
          <w:b/>
          <w:bCs/>
        </w:rPr>
        <w:t>80 g／L，合格。</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3.1  条文解释</w:t>
      </w:r>
    </w:p>
    <w:p>
      <w:pPr>
        <w:adjustRightInd w:val="0"/>
        <w:snapToGrid w:val="0"/>
        <w:spacing w:line="500" w:lineRule="exact"/>
        <w:ind w:firstLine="420" w:firstLineChars="200"/>
      </w:pPr>
      <w: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adjustRightInd w:val="0"/>
        <w:snapToGrid w:val="0"/>
        <w:spacing w:line="500" w:lineRule="exact"/>
        <w:ind w:firstLine="420" w:firstLineChars="200"/>
      </w:pPr>
      <w:r>
        <w:t>血液系统疾病一般可分为红细胞疾病、白细胞疾病、出血性疾病、造血干细胞疾病等，临床上可以表现为贫血、出血、发热或恶性细胞浸润所致的淋巴结、肝、脾肿大等，不同疾病又各有其特点。现仅就较常见的一些疾病做简要说明。</w:t>
      </w:r>
    </w:p>
    <w:p>
      <w:pPr>
        <w:adjustRightInd w:val="0"/>
        <w:snapToGrid w:val="0"/>
        <w:spacing w:line="500" w:lineRule="exact"/>
        <w:ind w:firstLine="420" w:firstLineChars="200"/>
      </w:pPr>
      <w:r>
        <w:t>3.1.1  贫血  系指单位容积血液中血红蛋白含量低于参考值的下限，同时常伴有不同程度的红细胞数量和红细胞压积减少。一般认为，在平原地区，血红蛋白含量成人男性＜130g/L，女性低于＜115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adjustRightInd w:val="0"/>
        <w:snapToGrid w:val="0"/>
        <w:spacing w:line="500" w:lineRule="exact"/>
        <w:ind w:firstLine="420" w:firstLineChars="200"/>
      </w:pPr>
      <w: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adjustRightInd w:val="0"/>
        <w:snapToGrid w:val="0"/>
        <w:spacing w:line="500" w:lineRule="exact"/>
        <w:ind w:firstLine="420" w:firstLineChars="200"/>
      </w:pPr>
      <w:r>
        <w:t>2）再生障碍性贫血：简称再障，是多种病因引起骨髓衰竭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adjustRightInd w:val="0"/>
        <w:snapToGrid w:val="0"/>
        <w:spacing w:line="500" w:lineRule="exact"/>
        <w:ind w:firstLine="420" w:firstLineChars="200"/>
      </w:pPr>
      <w:r>
        <w:t>3）巨幼细胞性贫血：是由于叶酸和/或维生素B</w:t>
      </w:r>
      <w:r>
        <w:rPr>
          <w:vertAlign w:val="subscript"/>
        </w:rPr>
        <w:t>12</w:t>
      </w:r>
      <w:r>
        <w:t>缺乏致DNA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B</w:t>
      </w:r>
      <w:r>
        <w:rPr>
          <w:vertAlign w:val="subscript"/>
        </w:rPr>
        <w:t>12</w:t>
      </w:r>
      <w:r>
        <w:t>吸收的药物等。本病一经诊断，即作不合格结论。</w:t>
      </w:r>
    </w:p>
    <w:p>
      <w:pPr>
        <w:adjustRightInd w:val="0"/>
        <w:snapToGrid w:val="0"/>
        <w:spacing w:line="500" w:lineRule="exact"/>
        <w:ind w:firstLine="420" w:firstLineChars="200"/>
        <w:rPr>
          <w:b/>
          <w:bCs/>
        </w:rPr>
      </w:pPr>
      <w:r>
        <w:t>4）肿瘤性贫血：是由于血液肿瘤（如白血病、淋巴瘤、骨髓瘤）或实体瘤浸润骨髓或骨髓异常增生（如骨髓异常增生综合症）所导致的贫血。本病一经诊断，即作不合格结论。</w:t>
      </w:r>
    </w:p>
    <w:p>
      <w:pPr>
        <w:adjustRightInd w:val="0"/>
        <w:snapToGrid w:val="0"/>
        <w:spacing w:line="500" w:lineRule="exact"/>
        <w:ind w:firstLine="420" w:firstLineChars="200"/>
      </w:pPr>
      <w: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药物、理化、免疫、代谢等后天因素而引起。根据红细胞破坏的主要场所可分为血管内溶血和血管外溶血。两者均作不合格结论。</w:t>
      </w:r>
    </w:p>
    <w:p>
      <w:pPr>
        <w:adjustRightInd w:val="0"/>
        <w:snapToGrid w:val="0"/>
        <w:spacing w:line="500" w:lineRule="exact"/>
        <w:ind w:firstLine="420" w:firstLineChars="200"/>
      </w:pPr>
      <w:r>
        <w:t>3.1.2  红细胞增多症  是指单位容积血液中红细胞数、血红蛋白含量和红细胞压积明显高于参考值上限，即可诊断为红细胞增多症。其病因有多种，可以是血浆容量减少造成的相对性红细胞增多，也可以是组织缺氧导致的继发性红细胞增多，也有原因不明的真性红细胞增多症（也称原发性红细胞增多症）。</w:t>
      </w:r>
    </w:p>
    <w:p>
      <w:pPr>
        <w:adjustRightInd w:val="0"/>
        <w:snapToGrid w:val="0"/>
        <w:spacing w:line="500" w:lineRule="exact"/>
        <w:ind w:firstLine="420" w:firstLineChars="200"/>
      </w:pPr>
      <w: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adjustRightInd w:val="0"/>
        <w:snapToGrid w:val="0"/>
        <w:spacing w:line="500" w:lineRule="exact"/>
        <w:ind w:firstLine="420" w:firstLineChars="200"/>
      </w:pPr>
      <w:r>
        <w:t>2）真性红细胞增多症：是一种以红系细胞异常增殖为主的慢性骨髓增殖性疾病，起病缓慢，其特点为皮肤黏膜暗红、脾大、血红蛋白、红细胞数及血容量增加伴全血细胞增多，常有神经系统及血液循环功能障碍、血栓形成、心力衰竭等。</w:t>
      </w:r>
    </w:p>
    <w:p>
      <w:pPr>
        <w:adjustRightInd w:val="0"/>
        <w:snapToGrid w:val="0"/>
        <w:spacing w:line="500" w:lineRule="exact"/>
        <w:ind w:firstLine="420" w:firstLineChars="200"/>
      </w:pPr>
      <w:r>
        <w:t>3.1.3  白细胞疾病  包括各类白细胞减少和增多性疾病。</w:t>
      </w:r>
    </w:p>
    <w:p>
      <w:pPr>
        <w:adjustRightInd w:val="0"/>
        <w:snapToGrid w:val="0"/>
        <w:spacing w:line="500" w:lineRule="exact"/>
        <w:ind w:firstLine="420" w:firstLineChars="200"/>
      </w:pPr>
      <w:r>
        <w:t>1）白细胞减少症和粒细胞缺乏症：白细胞减少症是指外周血中白细胞计数＜3.5×10</w:t>
      </w:r>
      <w:r>
        <w:rPr>
          <w:vertAlign w:val="superscript"/>
        </w:rPr>
        <w:t>9</w:t>
      </w:r>
      <w:r>
        <w:t>/L，其中以中性粒细胞减少占绝大多数。当中性粒细胞总数＜0.5×10</w:t>
      </w:r>
      <w:r>
        <w:rPr>
          <w:vertAlign w:val="superscript"/>
        </w:rPr>
        <w:t>9</w:t>
      </w:r>
      <w: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vertAlign w:val="subscript"/>
        </w:rPr>
        <w:t>12</w:t>
      </w:r>
      <w:r>
        <w:t>缺乏所致者）等。此外，在血池中分布异常、需求增加、消耗破坏加速也可引起此症。</w:t>
      </w:r>
    </w:p>
    <w:p>
      <w:pPr>
        <w:adjustRightInd w:val="0"/>
        <w:snapToGrid w:val="0"/>
        <w:spacing w:line="500" w:lineRule="exact"/>
        <w:ind w:firstLine="420" w:firstLineChars="200"/>
      </w:pPr>
      <w:r>
        <w:t>由于大多数病因是后天因素，在病因未消除、白细胞总数或中性粒细胞数未恢复到正常并持续稳定前，作不合格结论。</w:t>
      </w:r>
    </w:p>
    <w:p>
      <w:pPr>
        <w:adjustRightInd w:val="0"/>
        <w:snapToGrid w:val="0"/>
        <w:spacing w:line="500" w:lineRule="exact"/>
        <w:ind w:firstLine="420" w:firstLineChars="200"/>
      </w:pPr>
      <w:r>
        <w:t>2）中性粒细胞增多症：是指外周血中性粒细胞计数高于参考值上限，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检能恢复正常者，可作合格结论。</w:t>
      </w:r>
    </w:p>
    <w:p>
      <w:pPr>
        <w:adjustRightInd w:val="0"/>
        <w:snapToGrid w:val="0"/>
        <w:spacing w:line="500" w:lineRule="exact"/>
        <w:ind w:firstLine="420" w:firstLineChars="200"/>
      </w:pPr>
      <w:r>
        <w:t>3.1.4  恶性淋巴瘤</w:t>
      </w:r>
      <w:r>
        <w:rPr>
          <w:lang w:val="en-GB"/>
        </w:rPr>
        <w:t xml:space="preserve">  </w:t>
      </w:r>
      <w: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adjustRightInd w:val="0"/>
        <w:snapToGrid w:val="0"/>
        <w:spacing w:line="500" w:lineRule="exact"/>
        <w:ind w:firstLine="420" w:firstLineChars="200"/>
      </w:pPr>
      <w:r>
        <w:t>3.1.5  多发性骨髓瘤  为恶性浆细胞疾病中最常见的一种，其特点是单克隆浆细胞呈肿瘤性增生，从而破坏骨组织。临床上主要表现为骨痛、病理性骨折、贫血、高血钙、肾功能损害及易发生感染等。本病一经诊断，作不合格结论。</w:t>
      </w:r>
    </w:p>
    <w:p>
      <w:pPr>
        <w:adjustRightInd w:val="0"/>
        <w:snapToGrid w:val="0"/>
        <w:spacing w:line="500" w:lineRule="exact"/>
        <w:ind w:firstLine="420" w:firstLineChars="200"/>
      </w:pPr>
      <w: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adjustRightInd w:val="0"/>
        <w:snapToGrid w:val="0"/>
        <w:spacing w:line="500" w:lineRule="exact"/>
        <w:ind w:firstLine="420" w:firstLineChars="200"/>
      </w:pPr>
      <w:r>
        <w:t>3.1.7  出血性疾病  正常的止血机制由血管、血小板及凝血机制三方面协同作用共同完成，任何一个方面发生障碍都可导致异常出血，即出血不止或过多，称为出血性疾病。</w:t>
      </w:r>
    </w:p>
    <w:p>
      <w:pPr>
        <w:adjustRightInd w:val="0"/>
        <w:snapToGrid w:val="0"/>
        <w:spacing w:line="500" w:lineRule="exact"/>
        <w:ind w:firstLine="420" w:firstLineChars="200"/>
      </w:pPr>
      <w:r>
        <w:t>1）血小板减少症：是指外周血中血小板计数低于100×10</w:t>
      </w:r>
      <w:r>
        <w:rPr>
          <w:vertAlign w:val="superscript"/>
        </w:rPr>
        <w:t>9</w:t>
      </w:r>
      <w:r>
        <w:t>/L。当血小板计数低于50×10</w:t>
      </w:r>
      <w:r>
        <w:rPr>
          <w:vertAlign w:val="superscript"/>
        </w:rPr>
        <w:t>9</w:t>
      </w:r>
      <w:r>
        <w:t>/L时可能会有出血，低于20×10</w:t>
      </w:r>
      <w:r>
        <w:rPr>
          <w:vertAlign w:val="superscript"/>
        </w:rPr>
        <w:t>9</w:t>
      </w:r>
      <w:r>
        <w:t xml:space="preserve">/L时出血症状会加重，表现为皮肤粘膜出血点（直径＜2 </w:t>
      </w:r>
      <w:r>
        <w:rPr>
          <w:rFonts w:hint="eastAsia" w:eastAsia="楷体_GB2312"/>
        </w:rPr>
        <w:t xml:space="preserve">mm </w:t>
      </w:r>
      <w:r>
        <w:t>)、紫癜（直径3～5</w:t>
      </w:r>
      <w:r>
        <w:rPr>
          <w:rFonts w:hint="eastAsia" w:eastAsia="楷体_GB2312"/>
        </w:rPr>
        <w:t xml:space="preserve">mm </w:t>
      </w:r>
      <w:r>
        <w:t xml:space="preserve">）或瘀斑（直径＞5 </w:t>
      </w:r>
      <w:r>
        <w:rPr>
          <w:rFonts w:hint="eastAsia" w:eastAsia="楷体_GB2312"/>
        </w:rPr>
        <w:t xml:space="preserve">mm </w:t>
      </w:r>
      <w:r>
        <w:t>）、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检血小板计数能恢复正常水平者，可按合格处理。</w:t>
      </w:r>
    </w:p>
    <w:p>
      <w:pPr>
        <w:adjustRightInd w:val="0"/>
        <w:snapToGrid w:val="0"/>
        <w:spacing w:line="500" w:lineRule="exact"/>
        <w:ind w:firstLine="420" w:firstLineChars="200"/>
      </w:pPr>
      <w: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adjustRightInd w:val="0"/>
        <w:snapToGrid w:val="0"/>
        <w:spacing w:line="500" w:lineRule="exact"/>
        <w:ind w:firstLine="420" w:firstLineChars="200"/>
        <w:rPr>
          <w:rFonts w:hint="eastAsia" w:ascii="楷体" w:hAnsi="楷体" w:eastAsia="楷体" w:cs="楷体"/>
        </w:rPr>
      </w:pPr>
      <w:r>
        <w:t>3）血小板增多症：包括原发性及继发性两种。原发性血小板增多症的血小板计数大于1000×10</w:t>
      </w:r>
      <w:r>
        <w:rPr>
          <w:vertAlign w:val="superscript"/>
        </w:rPr>
        <w:t>9</w:t>
      </w:r>
      <w:r>
        <w:t>/L，并可能有出血倾向。</w:t>
      </w:r>
    </w:p>
    <w:p>
      <w:pPr>
        <w:adjustRightInd w:val="0"/>
        <w:snapToGrid w:val="0"/>
        <w:spacing w:line="500" w:lineRule="exact"/>
        <w:ind w:firstLine="420" w:firstLineChars="200"/>
      </w:pPr>
      <w:r>
        <w:t>4）过敏性紫癜：是一种较常见的变态反应性出血性疾病，主要是由于机体对某些物质发生变态反应而引起毛细血管壁通透性和脆性增高，导致渗出性出血，而血小板数量正常。主要病因有感染、药物、食物等因素。根据临床表现分为单纯型、腹型、关节型、肾型及混合型。本病一经诊断，作不合格结论。</w:t>
      </w:r>
    </w:p>
    <w:p>
      <w:pPr>
        <w:adjustRightInd w:val="0"/>
        <w:snapToGrid w:val="0"/>
        <w:spacing w:line="500" w:lineRule="exact"/>
        <w:ind w:firstLine="420" w:firstLineChars="200"/>
      </w:pPr>
      <w:r>
        <w:t>5）血友病：是一组因遗传性凝血活酶生成障碍引起的出血性疾病，以阳性家族史、幼年发病、自发或轻度外伤后出血不止、血肿形成及关节出血为特征。本病是一种终身性疾病，尚无根治方法，一经诊断，作不合格结论。</w:t>
      </w:r>
    </w:p>
    <w:p>
      <w:pPr>
        <w:adjustRightInd w:val="0"/>
        <w:snapToGrid w:val="0"/>
        <w:spacing w:line="500" w:lineRule="exact"/>
        <w:ind w:firstLine="420" w:firstLineChars="200"/>
      </w:pPr>
      <w:r>
        <w:t>3.1.8  白血病  系造血系统的恶性肿瘤，约占癌症总发病率的5%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3.2  诊断要点</w:t>
      </w:r>
    </w:p>
    <w:p>
      <w:pPr>
        <w:adjustRightInd w:val="0"/>
        <w:snapToGrid w:val="0"/>
        <w:spacing w:line="500" w:lineRule="exact"/>
        <w:ind w:firstLine="420" w:firstLineChars="200"/>
      </w:pPr>
      <w:r>
        <w:t>3.2.1  缺铁性贫血</w:t>
      </w:r>
    </w:p>
    <w:p>
      <w:pPr>
        <w:adjustRightInd w:val="0"/>
        <w:snapToGrid w:val="0"/>
        <w:spacing w:line="500" w:lineRule="exact"/>
        <w:ind w:firstLine="420" w:firstLineChars="200"/>
      </w:pPr>
      <w: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adjustRightInd w:val="0"/>
        <w:snapToGrid w:val="0"/>
        <w:spacing w:line="500" w:lineRule="exact"/>
        <w:ind w:firstLine="420" w:firstLineChars="200"/>
      </w:pPr>
      <w:r>
        <w:t>2）查体要点：皮肤黏膜苍白是贫血的主要体征，一般以观察甲床、手掌皮肤皱褶、口腔黏膜、睑结膜较为可靠。注意有无其他体征如口角炎、舌炎、心率增快等。</w:t>
      </w:r>
    </w:p>
    <w:p>
      <w:pPr>
        <w:adjustRightInd w:val="0"/>
        <w:snapToGrid w:val="0"/>
        <w:spacing w:line="500" w:lineRule="exact"/>
        <w:ind w:firstLine="420" w:firstLineChars="200"/>
        <w:rPr>
          <w:b/>
          <w:bCs/>
        </w:rPr>
      </w:pPr>
      <w:r>
        <w:t>3）辅助检查要点：</w:t>
      </w:r>
    </w:p>
    <w:p>
      <w:pPr>
        <w:adjustRightInd w:val="0"/>
        <w:snapToGrid w:val="0"/>
        <w:spacing w:line="500" w:lineRule="exact"/>
        <w:ind w:firstLine="420"/>
      </w:pPr>
      <w:r>
        <w:t>血常规：是诊断贫血的主要依据，可采用全自动血细胞仪进行分析，缺铁性贫血特征为小细胞低色素性贫血。一般通过血常规检查并结合病史、体征，多可明确诊断。</w:t>
      </w:r>
    </w:p>
    <w:p>
      <w:pPr>
        <w:adjustRightInd w:val="0"/>
        <w:snapToGrid w:val="0"/>
        <w:spacing w:line="500" w:lineRule="exact"/>
        <w:ind w:firstLine="420"/>
      </w:pPr>
      <w:r>
        <w:t>网织红细胞计数：在贫血者中应作为常规补充检查。缺铁性贫血者网织红细胞计数大多正常。</w:t>
      </w:r>
    </w:p>
    <w:p>
      <w:pPr>
        <w:adjustRightInd w:val="0"/>
        <w:snapToGrid w:val="0"/>
        <w:spacing w:line="500" w:lineRule="exact"/>
        <w:ind w:firstLine="420"/>
      </w:pPr>
      <w:r>
        <w:t>因小细胞低色素性贫血不一定为缺铁性贫血，故在不能确定贫血性质时，可根据当地条件选择进一步检测项目，如测定血清铁蛋白、血清铁、总铁结合力等，以确定是否为缺铁性贫血，并进一步寻找缺铁的病因，根据病因作出是否合格的结论。</w:t>
      </w:r>
    </w:p>
    <w:p>
      <w:pPr>
        <w:adjustRightInd w:val="0"/>
        <w:snapToGrid w:val="0"/>
        <w:spacing w:line="500" w:lineRule="exact"/>
        <w:ind w:firstLine="420" w:firstLineChars="200"/>
      </w:pPr>
      <w:r>
        <w:t>3.2.2  再生障碍性贫血</w:t>
      </w:r>
    </w:p>
    <w:p>
      <w:pPr>
        <w:adjustRightInd w:val="0"/>
        <w:snapToGrid w:val="0"/>
        <w:spacing w:line="500" w:lineRule="exact"/>
        <w:ind w:firstLine="420" w:firstLineChars="200"/>
      </w:pPr>
      <w: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adjustRightInd w:val="0"/>
        <w:snapToGrid w:val="0"/>
        <w:spacing w:line="500" w:lineRule="exact"/>
        <w:ind w:firstLine="420" w:firstLineChars="200"/>
      </w:pPr>
      <w:r>
        <w:t>2）查体要点：注意皮肤黏膜有无苍白、出血点、瘀斑、血肿等，有无发热、感染等。</w:t>
      </w:r>
    </w:p>
    <w:p>
      <w:pPr>
        <w:adjustRightInd w:val="0"/>
        <w:snapToGrid w:val="0"/>
        <w:spacing w:line="500" w:lineRule="exact"/>
        <w:ind w:firstLine="420" w:firstLineChars="200"/>
        <w:rPr>
          <w:b/>
          <w:bCs/>
        </w:rPr>
      </w:pPr>
      <w:r>
        <w:t>3）辅助检查要点：</w:t>
      </w:r>
    </w:p>
    <w:p>
      <w:pPr>
        <w:adjustRightInd w:val="0"/>
        <w:snapToGrid w:val="0"/>
        <w:spacing w:line="500" w:lineRule="exact"/>
        <w:ind w:firstLine="420" w:firstLineChars="200"/>
      </w:pPr>
      <w:r>
        <w:t>血常规：主要表现为全血细胞（红细胞、白细胞及血小板）减少，如果仅红系细胞减少，则为纯红细胞再生障碍性贫血。再生障碍性贫血的特点是呈正红细胞性贫血。</w:t>
      </w:r>
    </w:p>
    <w:p>
      <w:pPr>
        <w:adjustRightInd w:val="0"/>
        <w:snapToGrid w:val="0"/>
        <w:spacing w:line="500" w:lineRule="exact"/>
        <w:ind w:firstLine="420" w:firstLineChars="200"/>
      </w:pPr>
      <w:r>
        <w:t>网织红细胞计数：显著减少。</w:t>
      </w:r>
    </w:p>
    <w:p>
      <w:pPr>
        <w:adjustRightInd w:val="0"/>
        <w:snapToGrid w:val="0"/>
        <w:spacing w:line="500" w:lineRule="exact"/>
        <w:ind w:firstLine="420" w:firstLineChars="200"/>
      </w:pPr>
      <w:r>
        <w:t>对公务员体检而言，只要发现为全血细胞减少，即作不合格结论，一般无须再进行全血细胞减少的病因学诊断。</w:t>
      </w:r>
    </w:p>
    <w:p>
      <w:pPr>
        <w:adjustRightInd w:val="0"/>
        <w:snapToGrid w:val="0"/>
        <w:spacing w:line="500" w:lineRule="exact"/>
        <w:ind w:firstLine="420" w:firstLineChars="200"/>
      </w:pPr>
      <w:r>
        <w:t>3.2.3  巨幼细胞性贫血</w:t>
      </w:r>
    </w:p>
    <w:p>
      <w:pPr>
        <w:adjustRightInd w:val="0"/>
        <w:snapToGrid w:val="0"/>
        <w:spacing w:line="500" w:lineRule="exact"/>
        <w:ind w:firstLine="420" w:firstLineChars="200"/>
      </w:pPr>
      <w:r>
        <w:t>1）病史询问要点：有无叶酸及维生素B</w:t>
      </w:r>
      <w:r>
        <w:rPr>
          <w:vertAlign w:val="subscript"/>
        </w:rPr>
        <w:t>12</w:t>
      </w:r>
      <w:r>
        <w:t>缺乏的常见病因（如烹调加热时间过长、偏食、完全性素食、慢性胃肠道疾病、服用干扰叶酸及维生素B</w:t>
      </w:r>
      <w:r>
        <w:rPr>
          <w:vertAlign w:val="subscript"/>
        </w:rPr>
        <w:t>12</w:t>
      </w:r>
      <w:r>
        <w:t>吸收的药物等），有无贫血症状（乏力、头昏、心悸、气短等），有无伴随的消化道症状（如食欲不振、恶心、腹泻等）。</w:t>
      </w:r>
    </w:p>
    <w:p>
      <w:pPr>
        <w:adjustRightInd w:val="0"/>
        <w:snapToGrid w:val="0"/>
        <w:spacing w:line="500" w:lineRule="exact"/>
        <w:ind w:firstLine="420" w:firstLineChars="200"/>
      </w:pPr>
      <w:r>
        <w:t>2）查体要点：注意有无皮肤黏膜苍白（同缺铁性贫血）、舌乳头萎缩或消失，有无肌力异常、步行障碍等神经系统体征。</w:t>
      </w:r>
    </w:p>
    <w:p>
      <w:pPr>
        <w:adjustRightInd w:val="0"/>
        <w:snapToGrid w:val="0"/>
        <w:spacing w:line="500" w:lineRule="exact"/>
        <w:ind w:firstLine="420" w:firstLineChars="200"/>
        <w:rPr>
          <w:b/>
          <w:bCs/>
        </w:rPr>
      </w:pPr>
      <w:r>
        <w:t>3）辅助检查要点：</w:t>
      </w:r>
    </w:p>
    <w:p>
      <w:pPr>
        <w:adjustRightInd w:val="0"/>
        <w:snapToGrid w:val="0"/>
        <w:spacing w:line="500" w:lineRule="exact"/>
        <w:ind w:firstLine="420" w:firstLineChars="200"/>
      </w:pPr>
      <w:r>
        <w:t>血常规：呈大细胞性贫血特征，白细胞和血小板也常减少。</w:t>
      </w:r>
    </w:p>
    <w:p>
      <w:pPr>
        <w:adjustRightInd w:val="0"/>
        <w:snapToGrid w:val="0"/>
        <w:spacing w:line="500" w:lineRule="exact"/>
        <w:ind w:firstLine="420" w:firstLineChars="200"/>
      </w:pPr>
      <w:r>
        <w:t>若不能确定贫血性质，可根据当地条件选择进一步检测项目，如血清维生素B</w:t>
      </w:r>
      <w:r>
        <w:rPr>
          <w:vertAlign w:val="subscript"/>
        </w:rPr>
        <w:t>12</w:t>
      </w:r>
      <w:r>
        <w:t>、叶酸和红细胞叶酸测定等，以确立诊断及结论。</w:t>
      </w:r>
    </w:p>
    <w:p>
      <w:pPr>
        <w:adjustRightInd w:val="0"/>
        <w:snapToGrid w:val="0"/>
        <w:spacing w:line="500" w:lineRule="exact"/>
        <w:ind w:firstLine="420" w:firstLineChars="200"/>
      </w:pPr>
      <w:r>
        <w:t>3.2.4  骨髓病性贫血</w:t>
      </w:r>
    </w:p>
    <w:p>
      <w:pPr>
        <w:adjustRightInd w:val="0"/>
        <w:snapToGrid w:val="0"/>
        <w:spacing w:line="500" w:lineRule="exact"/>
        <w:ind w:firstLine="420" w:firstLineChars="200"/>
      </w:pPr>
      <w:r>
        <w:t>1）病史询问要点：有无引起骨髓病性贫血的原发疾病史（急慢性白血病、淋巴瘤、多发性骨髓瘤、恶性组织细胞增生症及转移癌等），有无骨痛、骨折史。</w:t>
      </w:r>
    </w:p>
    <w:p>
      <w:pPr>
        <w:adjustRightInd w:val="0"/>
        <w:snapToGrid w:val="0"/>
        <w:spacing w:line="500" w:lineRule="exact"/>
        <w:ind w:firstLine="420" w:firstLineChars="200"/>
      </w:pPr>
      <w:r>
        <w:t>2）查体要点：注意贫血、肝脾肿大及原发疾病的相关体征。</w:t>
      </w:r>
    </w:p>
    <w:p>
      <w:pPr>
        <w:adjustRightInd w:val="0"/>
        <w:snapToGrid w:val="0"/>
        <w:spacing w:line="500" w:lineRule="exact"/>
        <w:ind w:firstLine="420" w:firstLineChars="200"/>
      </w:pPr>
      <w:r>
        <w:t>3）辅助检查要点：血常规检查呈正常细胞性贫血。</w:t>
      </w:r>
    </w:p>
    <w:p>
      <w:pPr>
        <w:adjustRightInd w:val="0"/>
        <w:snapToGrid w:val="0"/>
        <w:spacing w:line="500" w:lineRule="exact"/>
        <w:ind w:left="420"/>
      </w:pPr>
      <w:r>
        <w:t>对贫血、骨痛伴无确切原因可解释的肝脾肿大等可疑病例，必要时可组织会诊或做进一</w:t>
      </w:r>
    </w:p>
    <w:p>
      <w:pPr>
        <w:adjustRightInd w:val="0"/>
        <w:snapToGrid w:val="0"/>
        <w:spacing w:line="500" w:lineRule="exact"/>
        <w:rPr>
          <w:b/>
          <w:bCs/>
        </w:rPr>
      </w:pPr>
      <w:r>
        <w:t>步检查，如骨X线片有无骨质破坏，骨髓片有无瘤细胞，以及有无幼粒幼红细胞血像等，以明确诊断。</w:t>
      </w:r>
    </w:p>
    <w:p>
      <w:pPr>
        <w:adjustRightInd w:val="0"/>
        <w:snapToGrid w:val="0"/>
        <w:spacing w:line="500" w:lineRule="exact"/>
        <w:ind w:firstLine="420" w:firstLineChars="200"/>
      </w:pPr>
      <w:r>
        <w:t>3.2.5  溶血性贫血</w:t>
      </w:r>
    </w:p>
    <w:p>
      <w:pPr>
        <w:adjustRightInd w:val="0"/>
        <w:snapToGrid w:val="0"/>
        <w:spacing w:line="500" w:lineRule="exact"/>
        <w:ind w:firstLine="420" w:firstLineChars="200"/>
      </w:pPr>
      <w: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adjustRightInd w:val="0"/>
        <w:snapToGrid w:val="0"/>
        <w:spacing w:line="500" w:lineRule="exact"/>
        <w:ind w:firstLine="420" w:firstLineChars="200"/>
      </w:pPr>
      <w:r>
        <w:t>2）查体要点：注意有无皮肤黏膜苍白、心率加快、巩膜黄染、肝脾肿大等体征。</w:t>
      </w:r>
    </w:p>
    <w:p>
      <w:pPr>
        <w:adjustRightInd w:val="0"/>
        <w:snapToGrid w:val="0"/>
        <w:spacing w:line="500" w:lineRule="exact"/>
        <w:ind w:firstLine="420" w:firstLineChars="200"/>
      </w:pPr>
      <w:r>
        <w:t>3）辅助检查要点：</w:t>
      </w:r>
    </w:p>
    <w:p>
      <w:pPr>
        <w:adjustRightInd w:val="0"/>
        <w:snapToGrid w:val="0"/>
        <w:spacing w:line="500" w:lineRule="exact"/>
        <w:ind w:firstLine="420" w:firstLineChars="200"/>
      </w:pPr>
      <w:r>
        <w:t>血常规：呈正常细胞性贫血。</w:t>
      </w:r>
    </w:p>
    <w:p>
      <w:pPr>
        <w:adjustRightInd w:val="0"/>
        <w:snapToGrid w:val="0"/>
        <w:spacing w:line="500" w:lineRule="exact"/>
        <w:ind w:firstLine="420" w:firstLineChars="200"/>
      </w:pPr>
      <w:r>
        <w:t>网织红细胞计数：多升高。</w:t>
      </w:r>
    </w:p>
    <w:p>
      <w:pPr>
        <w:adjustRightInd w:val="0"/>
        <w:snapToGrid w:val="0"/>
        <w:spacing w:line="500" w:lineRule="exact"/>
        <w:ind w:firstLine="420" w:firstLineChars="200"/>
      </w:pPr>
      <w:r>
        <w:t>一般根据贫血特点以及兼有黄疸、脾大、网织红细胞升高即可诊断。可疑病例可做进一步检查，如血胆红素（本病的特征是以血清间接胆红素增高为主）、游离血红蛋白、血红蛋白尿、含铁血黄素尿等，以进一步确诊。</w:t>
      </w:r>
    </w:p>
    <w:p>
      <w:pPr>
        <w:adjustRightInd w:val="0"/>
        <w:snapToGrid w:val="0"/>
        <w:spacing w:line="500" w:lineRule="exact"/>
        <w:ind w:firstLine="420" w:firstLineChars="200"/>
        <w:rPr>
          <w:b/>
          <w:bCs/>
        </w:rPr>
      </w:pPr>
      <w:r>
        <w:t>3.2.6  真性红细胞增多症</w:t>
      </w:r>
    </w:p>
    <w:p>
      <w:pPr>
        <w:adjustRightInd w:val="0"/>
        <w:snapToGrid w:val="0"/>
        <w:spacing w:line="500" w:lineRule="exact"/>
      </w:pPr>
      <w:r>
        <w:t xml:space="preserve">    1）病史询问要点：有无慢性缺氧性疾病（如肺原性心脏病、先天性心脏病、严重睡眠呼吸暂停综合征等）史及高原居住史、生理性脱水病史等，病史询问的目的是排除继发性红细胞增多症。</w:t>
      </w:r>
    </w:p>
    <w:p>
      <w:pPr>
        <w:adjustRightInd w:val="0"/>
        <w:snapToGrid w:val="0"/>
        <w:spacing w:line="500" w:lineRule="exact"/>
        <w:ind w:firstLine="420" w:firstLineChars="200"/>
      </w:pPr>
      <w:r>
        <w:t>2）查体要点：本病多发生在中老年人，平均发病发病年龄50-60岁。临床上常呈多血质表现、脾肿大、高血压等。</w:t>
      </w:r>
    </w:p>
    <w:p>
      <w:pPr>
        <w:adjustRightInd w:val="0"/>
        <w:snapToGrid w:val="0"/>
        <w:spacing w:line="500" w:lineRule="exact"/>
        <w:ind w:firstLine="420" w:firstLineChars="200"/>
      </w:pPr>
      <w:r>
        <w:t>3）辅助检查要点：血常规检查血红蛋白≥180 g/L（男）、≥170 g/L（女）；红细胞数≥6.5×10</w:t>
      </w:r>
      <w:r>
        <w:rPr>
          <w:vertAlign w:val="superscript"/>
        </w:rPr>
        <w:t>12</w:t>
      </w:r>
      <w:r>
        <w:t>/L（男）、≥6.0×10</w:t>
      </w:r>
      <w:r>
        <w:rPr>
          <w:vertAlign w:val="superscript"/>
        </w:rPr>
        <w:t>12</w:t>
      </w:r>
      <w:r>
        <w:t>/L（女）；血细胞比容≥0.5。血常规常呈三系增高。</w:t>
      </w:r>
    </w:p>
    <w:p>
      <w:pPr>
        <w:adjustRightInd w:val="0"/>
        <w:snapToGrid w:val="0"/>
        <w:spacing w:line="500" w:lineRule="exact"/>
        <w:ind w:firstLine="420" w:firstLineChars="200"/>
      </w:pPr>
      <w:r>
        <w:t>继发性红细胞增多症者是否合格，需视病因情况而定。对一时性脱水所致血红蛋白含量及红细胞计数略超过参考值、经正常饮水可纠正者，可作出合格的结论；</w:t>
      </w:r>
      <w:r>
        <w:rPr>
          <w:rFonts w:hint="eastAsia" w:ascii="宋体" w:hAnsi="宋体" w:cs="宋体"/>
          <w:bCs/>
        </w:rPr>
        <w:t>对高原性红细胞增多症，因不影响正常工作，且考生一旦返回平原后红细胞等血液指标高会逐渐恢复，故对此类考生，只要超声心动图没有心脏器质性改变，可按合格处理；</w:t>
      </w:r>
      <w:r>
        <w:t>对其他病理因素所致者，应根据原发病性质，作出不合格结论。</w:t>
      </w:r>
    </w:p>
    <w:p>
      <w:pPr>
        <w:adjustRightInd w:val="0"/>
        <w:snapToGrid w:val="0"/>
        <w:spacing w:line="500" w:lineRule="exact"/>
        <w:ind w:firstLine="420" w:firstLineChars="200"/>
      </w:pPr>
      <w:r>
        <w:t>真性红细胞增多症，不合格。</w:t>
      </w:r>
    </w:p>
    <w:p>
      <w:pPr>
        <w:adjustRightInd w:val="0"/>
        <w:snapToGrid w:val="0"/>
        <w:spacing w:line="500" w:lineRule="exact"/>
        <w:ind w:firstLine="420" w:firstLineChars="200"/>
      </w:pPr>
      <w:r>
        <w:t>3.2.7  白细胞减少症和粒细胞缺乏症</w:t>
      </w:r>
    </w:p>
    <w:p>
      <w:pPr>
        <w:adjustRightInd w:val="0"/>
        <w:snapToGrid w:val="0"/>
        <w:spacing w:line="500" w:lineRule="exact"/>
        <w:ind w:firstLine="420" w:firstLineChars="200"/>
      </w:pPr>
      <w:r>
        <w:t>1）病史询问要点：有无导致本病的病因（如药物、中毒、感染、某些营养素缺乏等）及继发感染史。</w:t>
      </w:r>
    </w:p>
    <w:p>
      <w:pPr>
        <w:adjustRightInd w:val="0"/>
        <w:snapToGrid w:val="0"/>
        <w:spacing w:line="500" w:lineRule="exact"/>
        <w:ind w:firstLine="420" w:firstLineChars="200"/>
      </w:pPr>
      <w:r>
        <w:t>2）查体要点：本病一般没有阳性体征，主要通过病史提示及血液检验来诊断。</w:t>
      </w:r>
    </w:p>
    <w:p>
      <w:pPr>
        <w:adjustRightInd w:val="0"/>
        <w:snapToGrid w:val="0"/>
        <w:spacing w:line="500" w:lineRule="exact"/>
        <w:ind w:firstLine="420" w:firstLineChars="200"/>
      </w:pPr>
      <w:r>
        <w:t>3）辅助检查要点：血常规检查白细胞计数低于参考值下限，红细胞及血小板一般正常。根据白细胞减少程度诊断为白细胞减少症或粒细胞缺乏症。</w:t>
      </w:r>
    </w:p>
    <w:p>
      <w:pPr>
        <w:adjustRightInd w:val="0"/>
        <w:snapToGrid w:val="0"/>
        <w:spacing w:line="500" w:lineRule="exact"/>
        <w:ind w:firstLine="420" w:firstLineChars="200"/>
      </w:pPr>
      <w:r>
        <w:t>3.2.8  中性粒细胞增多症</w:t>
      </w:r>
    </w:p>
    <w:p>
      <w:pPr>
        <w:adjustRightInd w:val="0"/>
        <w:snapToGrid w:val="0"/>
        <w:spacing w:line="500" w:lineRule="exact"/>
        <w:ind w:firstLine="420" w:firstLineChars="200"/>
      </w:pPr>
      <w:r>
        <w:t>1）病史询问要点：有无引起中性粒细胞增多的病因，如急性感染、组织坏死、严重烧伤、中毒、药物反应、骨髓增殖性疾病（慢性粒细胞白血病、真性红细胞增多症、原发性血小板增多症、骨髓纤维化）、某些恶性肿瘤等。</w:t>
      </w:r>
    </w:p>
    <w:p>
      <w:pPr>
        <w:adjustRightInd w:val="0"/>
        <w:snapToGrid w:val="0"/>
        <w:spacing w:line="500" w:lineRule="exact"/>
        <w:ind w:firstLine="420" w:firstLineChars="200"/>
      </w:pPr>
      <w:r>
        <w:t>2）查体要点：重点检查有无原发疾病的相关体征。</w:t>
      </w:r>
    </w:p>
    <w:p>
      <w:pPr>
        <w:adjustRightInd w:val="0"/>
        <w:snapToGrid w:val="0"/>
        <w:spacing w:line="500" w:lineRule="exact"/>
        <w:ind w:firstLine="420" w:firstLineChars="200"/>
      </w:pPr>
      <w:r>
        <w:t>3）辅助检查要点：血常规检查中性粒细胞绝对值高于参考值上限，即可作出诊断。</w:t>
      </w:r>
    </w:p>
    <w:p>
      <w:pPr>
        <w:adjustRightInd w:val="0"/>
        <w:snapToGrid w:val="0"/>
        <w:spacing w:line="500" w:lineRule="exact"/>
        <w:ind w:firstLine="420" w:firstLineChars="200"/>
      </w:pPr>
      <w:r>
        <w:t>3.2.9  恶性淋巴瘤</w:t>
      </w:r>
    </w:p>
    <w:p>
      <w:pPr>
        <w:adjustRightInd w:val="0"/>
        <w:snapToGrid w:val="0"/>
        <w:spacing w:line="500" w:lineRule="exact"/>
        <w:ind w:firstLine="420" w:firstLineChars="200"/>
      </w:pPr>
      <w:r>
        <w:t>1）病史询问要点：以往有无淋巴瘤病史，对有浅表淋巴结肿大体征者应重点询问淋巴结肿大的进展情况以及有无疼痛、发热等症状。</w:t>
      </w:r>
    </w:p>
    <w:p>
      <w:pPr>
        <w:adjustRightInd w:val="0"/>
        <w:snapToGrid w:val="0"/>
        <w:spacing w:line="500" w:lineRule="exact"/>
        <w:ind w:firstLine="420" w:firstLineChars="200"/>
      </w:pPr>
      <w:r>
        <w:t>2）查体要点：有无全身浅表淋巴结肿大，若有注意其硬度、活动度、是否融合；有无肝脾肿大。</w:t>
      </w:r>
    </w:p>
    <w:p>
      <w:pPr>
        <w:adjustRightInd w:val="0"/>
        <w:snapToGrid w:val="0"/>
        <w:spacing w:line="500" w:lineRule="exact"/>
        <w:ind w:firstLine="420" w:firstLineChars="200"/>
        <w:rPr>
          <w:b/>
          <w:bCs/>
        </w:rPr>
      </w:pPr>
      <w:r>
        <w:t>3）辅助检查要点：</w:t>
      </w:r>
    </w:p>
    <w:p>
      <w:pPr>
        <w:adjustRightInd w:val="0"/>
        <w:snapToGrid w:val="0"/>
        <w:spacing w:line="500" w:lineRule="exact"/>
        <w:ind w:left="420"/>
      </w:pPr>
      <w:r>
        <w:t>血常规：可有贫血、淋巴细胞数量增多。</w:t>
      </w:r>
    </w:p>
    <w:p>
      <w:pPr>
        <w:adjustRightInd w:val="0"/>
        <w:snapToGrid w:val="0"/>
        <w:spacing w:line="500" w:lineRule="exact"/>
        <w:ind w:left="420"/>
      </w:pPr>
      <w:r>
        <w:t>胸部X线片：可见纵隔阴影增宽、肺门淋巴结肿大。</w:t>
      </w:r>
    </w:p>
    <w:p>
      <w:pPr>
        <w:adjustRightInd w:val="0"/>
        <w:snapToGrid w:val="0"/>
        <w:spacing w:line="500" w:lineRule="exact"/>
        <w:ind w:left="420"/>
      </w:pPr>
      <w:r>
        <w:t>腹部B超：除肝脾肿大外，可见腹膜后淋巴结肿大。</w:t>
      </w:r>
    </w:p>
    <w:p>
      <w:pPr>
        <w:adjustRightInd w:val="0"/>
        <w:snapToGrid w:val="0"/>
        <w:spacing w:line="500" w:lineRule="exact"/>
        <w:ind w:left="420"/>
      </w:pPr>
      <w:r>
        <w:t>以淋巴结肿大为主要表现者，必要时可取淋巴结活检，以进一步明确诊断。</w:t>
      </w:r>
    </w:p>
    <w:p>
      <w:pPr>
        <w:adjustRightInd w:val="0"/>
        <w:snapToGrid w:val="0"/>
        <w:spacing w:line="500" w:lineRule="exact"/>
        <w:ind w:firstLine="420" w:firstLineChars="200"/>
      </w:pPr>
      <w:r>
        <w:t>3.2.10  多发性骨髓瘤</w:t>
      </w:r>
    </w:p>
    <w:p>
      <w:pPr>
        <w:adjustRightInd w:val="0"/>
        <w:snapToGrid w:val="0"/>
        <w:spacing w:line="500" w:lineRule="exact"/>
        <w:ind w:firstLine="420" w:firstLineChars="200"/>
      </w:pPr>
      <w:r>
        <w:t>1）病史询问要点：多发性骨髓瘤的临床表现多种多样，早期主要表现为骨痛、易骨折，病史询问时应注意。</w:t>
      </w:r>
    </w:p>
    <w:p>
      <w:pPr>
        <w:adjustRightInd w:val="0"/>
        <w:snapToGrid w:val="0"/>
        <w:spacing w:line="500" w:lineRule="exact"/>
        <w:ind w:firstLine="420" w:firstLineChars="200"/>
      </w:pPr>
      <w:r>
        <w:t>2）查体要点：本病体征一般不明显，有时可见贫血，诊断主要是依靠病史提示和有针对性的辅助检查。</w:t>
      </w:r>
    </w:p>
    <w:p>
      <w:pPr>
        <w:adjustRightInd w:val="0"/>
        <w:snapToGrid w:val="0"/>
        <w:spacing w:line="500" w:lineRule="exact"/>
        <w:ind w:firstLine="420" w:firstLineChars="200"/>
      </w:pPr>
      <w:r>
        <w:t>3）辅助检查要点：对有骨痛或病理性骨折、贫血、反复发热等可疑病例，必要时可组织会诊或做进一步检查，根据骨骼X线片有无溶骨及骨质破坏、骨髓片有无异常浆细胞增多、尿本周蛋白是否阳性、血浆蛋白电泳有无</w:t>
      </w:r>
      <w:r>
        <w:rPr>
          <w:rFonts w:hint="eastAsia"/>
        </w:rPr>
        <w:t>米</w:t>
      </w:r>
      <w:r>
        <w:t>成分等作出诊断。</w:t>
      </w:r>
    </w:p>
    <w:p>
      <w:pPr>
        <w:adjustRightInd w:val="0"/>
        <w:snapToGrid w:val="0"/>
        <w:spacing w:line="500" w:lineRule="exact"/>
        <w:ind w:firstLine="420" w:firstLineChars="200"/>
      </w:pPr>
      <w:r>
        <w:t>3.2.11  脾功能亢进</w:t>
      </w:r>
    </w:p>
    <w:p>
      <w:pPr>
        <w:adjustRightInd w:val="0"/>
        <w:snapToGrid w:val="0"/>
        <w:spacing w:line="500" w:lineRule="exact"/>
        <w:ind w:firstLine="420" w:firstLineChars="200"/>
      </w:pPr>
      <w:r>
        <w:t>1）病史询问要点：既往有无慢性肝炎、血吸虫病等疾病史，注意寻找原发疾病的线索。</w:t>
      </w:r>
    </w:p>
    <w:p>
      <w:pPr>
        <w:adjustRightInd w:val="0"/>
        <w:snapToGrid w:val="0"/>
        <w:spacing w:line="500" w:lineRule="exact"/>
        <w:ind w:firstLine="420" w:firstLineChars="200"/>
      </w:pPr>
      <w:r>
        <w:t>2）查体要点：查体可见脾脏肿大及原发疾病的相关体征。</w:t>
      </w:r>
    </w:p>
    <w:p>
      <w:pPr>
        <w:adjustRightInd w:val="0"/>
        <w:snapToGrid w:val="0"/>
        <w:spacing w:line="500" w:lineRule="exact"/>
        <w:ind w:firstLine="420" w:firstLineChars="200"/>
        <w:rPr>
          <w:b/>
          <w:bCs/>
        </w:rPr>
      </w:pPr>
      <w:r>
        <w:t>3）辅助检查要点：</w:t>
      </w:r>
    </w:p>
    <w:p>
      <w:pPr>
        <w:adjustRightInd w:val="0"/>
        <w:snapToGrid w:val="0"/>
        <w:spacing w:line="500" w:lineRule="exact"/>
        <w:ind w:left="420"/>
      </w:pPr>
      <w:r>
        <w:t>血常规：全血细胞减少或白细胞、血小板减少。</w:t>
      </w:r>
    </w:p>
    <w:p>
      <w:pPr>
        <w:adjustRightInd w:val="0"/>
        <w:snapToGrid w:val="0"/>
        <w:spacing w:line="500" w:lineRule="exact"/>
        <w:ind w:left="420"/>
      </w:pPr>
      <w:r>
        <w:t>腹部B超：显示脾脏肿大。</w:t>
      </w:r>
    </w:p>
    <w:p>
      <w:pPr>
        <w:adjustRightInd w:val="0"/>
        <w:snapToGrid w:val="0"/>
        <w:spacing w:line="500" w:lineRule="exact"/>
        <w:ind w:firstLine="420" w:firstLineChars="200"/>
      </w:pPr>
      <w:r>
        <w:t>一般根据血液检查特点、B超检查提示脾脏肿大，结合原发疾病综合判断，即可诊断。</w:t>
      </w:r>
    </w:p>
    <w:p>
      <w:pPr>
        <w:adjustRightInd w:val="0"/>
        <w:snapToGrid w:val="0"/>
        <w:spacing w:line="500" w:lineRule="exact"/>
        <w:ind w:firstLine="420" w:firstLineChars="200"/>
      </w:pPr>
      <w:r>
        <w:t>3.2.12  血小板减少症</w:t>
      </w:r>
    </w:p>
    <w:p>
      <w:pPr>
        <w:adjustRightInd w:val="0"/>
        <w:snapToGrid w:val="0"/>
        <w:spacing w:line="500" w:lineRule="exact"/>
        <w:ind w:left="420"/>
      </w:pPr>
      <w:r>
        <w:t>1）病史询问要点：有无反复的皮肤黏膜出血（如鼻出血或牙龈出血）史。</w:t>
      </w:r>
    </w:p>
    <w:p>
      <w:pPr>
        <w:adjustRightInd w:val="0"/>
        <w:snapToGrid w:val="0"/>
        <w:spacing w:line="500" w:lineRule="exact"/>
        <w:ind w:firstLine="420" w:firstLineChars="200"/>
      </w:pPr>
      <w:r>
        <w:t>2）查体要点：注意出血的性状和部位，有无紫癜、牙龈出血点、口腔黏膜血疱等，有无肝、脾、淋巴结肿大。</w:t>
      </w:r>
    </w:p>
    <w:p>
      <w:pPr>
        <w:adjustRightInd w:val="0"/>
        <w:snapToGrid w:val="0"/>
        <w:spacing w:line="500" w:lineRule="exact"/>
        <w:ind w:firstLine="420" w:firstLineChars="200"/>
      </w:pPr>
      <w:r>
        <w:t>3）辅助检查要点：血常规检查血小板计数低于100×10</w:t>
      </w:r>
      <w:r>
        <w:rPr>
          <w:vertAlign w:val="superscript"/>
        </w:rPr>
        <w:t>9</w:t>
      </w:r>
      <w:r>
        <w:t>/L，即可诊断。</w:t>
      </w:r>
    </w:p>
    <w:p>
      <w:pPr>
        <w:adjustRightInd w:val="0"/>
        <w:snapToGrid w:val="0"/>
        <w:spacing w:line="500" w:lineRule="exact"/>
        <w:ind w:firstLine="420" w:firstLineChars="200"/>
      </w:pPr>
      <w:r>
        <w:t>3.2.13  血小板减少性紫癜</w:t>
      </w:r>
    </w:p>
    <w:p>
      <w:pPr>
        <w:adjustRightInd w:val="0"/>
        <w:snapToGrid w:val="0"/>
        <w:spacing w:line="500" w:lineRule="exact"/>
        <w:ind w:firstLine="420" w:firstLineChars="200"/>
      </w:pPr>
      <w:r>
        <w:t>1）病史询问要点：有无反复的皮肤黏膜出血史，如鼻出血或牙龈出血，有无家族出血史。</w:t>
      </w:r>
    </w:p>
    <w:p>
      <w:pPr>
        <w:adjustRightInd w:val="0"/>
        <w:snapToGrid w:val="0"/>
        <w:spacing w:line="500" w:lineRule="exact"/>
        <w:ind w:firstLine="420" w:firstLineChars="200"/>
      </w:pPr>
      <w:r>
        <w:t>2）查体要点：注意有无紫癜、牙龈出血点、口腔黏膜血疱等，有无肝、脾、淋巴结肿大。</w:t>
      </w:r>
    </w:p>
    <w:p>
      <w:pPr>
        <w:adjustRightInd w:val="0"/>
        <w:snapToGrid w:val="0"/>
        <w:spacing w:line="500" w:lineRule="exact"/>
        <w:ind w:firstLine="420" w:firstLineChars="200"/>
      </w:pPr>
      <w:r>
        <w:t>3）辅助检查要点：血常规检查血小板计数低于100×10</w:t>
      </w:r>
      <w:r>
        <w:rPr>
          <w:vertAlign w:val="superscript"/>
        </w:rPr>
        <w:t>9</w:t>
      </w:r>
      <w:r>
        <w:t>/L。</w:t>
      </w:r>
    </w:p>
    <w:p>
      <w:pPr>
        <w:adjustRightInd w:val="0"/>
        <w:snapToGrid w:val="0"/>
        <w:spacing w:line="500" w:lineRule="exact"/>
        <w:ind w:firstLine="420" w:firstLineChars="200"/>
      </w:pPr>
      <w:r>
        <w:t>有出血症状并伴血小板减少即可诊断。</w:t>
      </w:r>
    </w:p>
    <w:p>
      <w:pPr>
        <w:adjustRightInd w:val="0"/>
        <w:snapToGrid w:val="0"/>
        <w:spacing w:line="500" w:lineRule="exact"/>
        <w:ind w:firstLine="420" w:firstLineChars="200"/>
      </w:pPr>
      <w:r>
        <w:t>3.2.14  原发性血小板增多症</w:t>
      </w:r>
    </w:p>
    <w:p>
      <w:pPr>
        <w:adjustRightInd w:val="0"/>
        <w:snapToGrid w:val="0"/>
        <w:spacing w:line="500" w:lineRule="exact"/>
        <w:ind w:firstLine="420" w:firstLineChars="200"/>
      </w:pPr>
      <w:r>
        <w:t>1）病史询问要点：有无反复的皮肤黏膜出血史，如鼻出血或牙龈出血等。</w:t>
      </w:r>
    </w:p>
    <w:p>
      <w:pPr>
        <w:adjustRightInd w:val="0"/>
        <w:snapToGrid w:val="0"/>
        <w:spacing w:line="500" w:lineRule="exact"/>
        <w:ind w:firstLine="420" w:firstLineChars="200"/>
      </w:pPr>
      <w:r>
        <w:t>2）查体要点：注意有无紫癜、牙龈出血点、口腔黏膜血疱等，</w:t>
      </w:r>
    </w:p>
    <w:p>
      <w:pPr>
        <w:adjustRightInd w:val="0"/>
        <w:snapToGrid w:val="0"/>
        <w:spacing w:line="500" w:lineRule="exact"/>
        <w:ind w:firstLine="420" w:firstLineChars="200"/>
      </w:pPr>
      <w:r>
        <w:t>3）辅助检查要点：血小板计数大于1000×10</w:t>
      </w:r>
      <w:r>
        <w:rPr>
          <w:vertAlign w:val="superscript"/>
        </w:rPr>
        <w:t>9</w:t>
      </w:r>
      <w:r>
        <w:t>/L，骨髓象巨核细胞明显增多。</w:t>
      </w:r>
    </w:p>
    <w:p>
      <w:pPr>
        <w:adjustRightInd w:val="0"/>
        <w:snapToGrid w:val="0"/>
        <w:spacing w:line="500" w:lineRule="exact"/>
        <w:ind w:firstLine="420" w:firstLineChars="200"/>
      </w:pPr>
      <w:r>
        <w:t>3.2.15  过敏性紫癜</w:t>
      </w:r>
    </w:p>
    <w:p>
      <w:pPr>
        <w:adjustRightInd w:val="0"/>
        <w:snapToGrid w:val="0"/>
        <w:spacing w:line="500" w:lineRule="exact"/>
        <w:ind w:firstLine="420" w:firstLineChars="200"/>
      </w:pPr>
      <w:r>
        <w:t>1）病史询问要点：有无自发性的皮肤紫癜，尤其是两下肢皮肤反复出现紫癜，紫癜治疗情况，是否可自发消退；有无其他类型紫癜的相关症状如腹痛、关节痛、血尿等。</w:t>
      </w:r>
    </w:p>
    <w:p>
      <w:pPr>
        <w:adjustRightInd w:val="0"/>
        <w:snapToGrid w:val="0"/>
        <w:spacing w:line="500" w:lineRule="exact"/>
        <w:ind w:firstLine="420" w:firstLineChars="200"/>
      </w:pPr>
      <w:r>
        <w:t>2）查体要点：单纯型过敏性紫癜病变仅表现在皮肤，紫癜的特点是分布于四肢、臀部，多在伸侧，多为对称性，皮疹分批出现，可高出皮面伴痒感，压之不褪色；其他各型紫癜可在皮肤紫癜发生前或发生后出现相应体征，如腹型紫癜可有腹部脐周压痛，关节型紫癜可见关节红肿、压痛及功能障碍，肾型紫癜可有水肿、血压增高等，结合紫癜特点一般容易诊断。</w:t>
      </w:r>
    </w:p>
    <w:p>
      <w:pPr>
        <w:adjustRightInd w:val="0"/>
        <w:snapToGrid w:val="0"/>
        <w:spacing w:line="500" w:lineRule="exact"/>
        <w:ind w:left="420"/>
        <w:rPr>
          <w:b/>
          <w:bCs/>
        </w:rPr>
      </w:pPr>
      <w:r>
        <w:t>3）辅助检查要点：</w:t>
      </w:r>
    </w:p>
    <w:p>
      <w:pPr>
        <w:adjustRightInd w:val="0"/>
        <w:snapToGrid w:val="0"/>
        <w:spacing w:line="500" w:lineRule="exact"/>
        <w:ind w:firstLine="420" w:firstLineChars="200"/>
      </w:pPr>
      <w:r>
        <w:t>血常规：血小板计数正常。</w:t>
      </w:r>
    </w:p>
    <w:p>
      <w:pPr>
        <w:adjustRightInd w:val="0"/>
        <w:snapToGrid w:val="0"/>
        <w:spacing w:line="500" w:lineRule="exact"/>
        <w:ind w:firstLine="420" w:firstLineChars="200"/>
      </w:pPr>
      <w:r>
        <w:t>尿常规：肾型紫癜可有镜下血尿、尿蛋白阳性。</w:t>
      </w:r>
    </w:p>
    <w:p>
      <w:pPr>
        <w:adjustRightInd w:val="0"/>
        <w:snapToGrid w:val="0"/>
        <w:spacing w:line="500" w:lineRule="exact"/>
        <w:ind w:firstLine="420" w:firstLineChars="200"/>
      </w:pPr>
      <w:r>
        <w:t>3.2.16  血友病</w:t>
      </w:r>
    </w:p>
    <w:p>
      <w:pPr>
        <w:adjustRightInd w:val="0"/>
        <w:snapToGrid w:val="0"/>
        <w:spacing w:line="500" w:lineRule="exact"/>
        <w:ind w:firstLine="420" w:firstLineChars="200"/>
      </w:pPr>
      <w:r>
        <w:t>1）病史询问要点：有无家族史，有无皮肤黏膜自发出血或轻伤后出血不止史，或月经过多史，创伤或手术时有无异常出血史等。</w:t>
      </w:r>
    </w:p>
    <w:p>
      <w:pPr>
        <w:adjustRightInd w:val="0"/>
        <w:snapToGrid w:val="0"/>
        <w:spacing w:line="500" w:lineRule="exact"/>
        <w:ind w:firstLine="420" w:firstLineChars="200"/>
      </w:pPr>
      <w:r>
        <w:t>2）查体要点：发作期可有关节肿胀和压痛等体征。</w:t>
      </w:r>
    </w:p>
    <w:p>
      <w:pPr>
        <w:adjustRightInd w:val="0"/>
        <w:snapToGrid w:val="0"/>
        <w:spacing w:line="500" w:lineRule="exact"/>
        <w:ind w:firstLine="420" w:firstLineChars="200"/>
      </w:pPr>
      <w:r>
        <w:t>3）辅助检查要点：本病主要通过病史进行诊断，必要时可进一步做凝血时间、活化的部分凝血活酶时间等血液学检查确诊。</w:t>
      </w:r>
    </w:p>
    <w:p>
      <w:pPr>
        <w:adjustRightInd w:val="0"/>
        <w:snapToGrid w:val="0"/>
        <w:spacing w:line="500" w:lineRule="exact"/>
        <w:ind w:firstLine="420" w:firstLineChars="200"/>
      </w:pPr>
      <w:r>
        <w:t>3.2.17  白血病</w:t>
      </w:r>
    </w:p>
    <w:p>
      <w:pPr>
        <w:adjustRightInd w:val="0"/>
        <w:snapToGrid w:val="0"/>
        <w:spacing w:line="500" w:lineRule="exact"/>
        <w:ind w:left="420"/>
      </w:pPr>
      <w:r>
        <w:t>1）病史询问要点：有无发热、出血、贫血等相关症状。</w:t>
      </w:r>
    </w:p>
    <w:p>
      <w:pPr>
        <w:adjustRightInd w:val="0"/>
        <w:snapToGrid w:val="0"/>
        <w:spacing w:line="500" w:lineRule="exact"/>
        <w:ind w:firstLine="420" w:firstLineChars="200"/>
      </w:pPr>
      <w:r>
        <w:t>2）查体要点：检查有无皮肤黏膜出血点、瘀斑，有无贫血貌，有无肝、脾、淋巴结肿大及胸骨压痛等体征。</w:t>
      </w:r>
    </w:p>
    <w:p>
      <w:pPr>
        <w:adjustRightInd w:val="0"/>
        <w:snapToGrid w:val="0"/>
        <w:spacing w:line="500" w:lineRule="exact"/>
        <w:ind w:firstLine="420" w:firstLineChars="200"/>
      </w:pPr>
      <w:r>
        <w:t>3）辅助检查要点：血常规检查白细胞总数可升高，分类可见各期白细胞；多呈正常细胞性贫血。</w:t>
      </w:r>
    </w:p>
    <w:p>
      <w:pPr>
        <w:adjustRightInd w:val="0"/>
        <w:snapToGrid w:val="0"/>
        <w:spacing w:line="500" w:lineRule="exact"/>
        <w:ind w:firstLine="420" w:firstLineChars="200"/>
      </w:pPr>
      <w:r>
        <w:t xml:space="preserve">可疑病例应及时请血液科会诊，必要时作骨髓检查以明确诊断。 </w:t>
      </w:r>
    </w:p>
    <w:p>
      <w:pPr>
        <w:adjustRightInd w:val="0"/>
        <w:snapToGrid w:val="0"/>
        <w:spacing w:line="500" w:lineRule="exact"/>
        <w:rPr>
          <w:rFonts w:eastAsia="黑体"/>
          <w:b/>
          <w:bCs/>
        </w:rPr>
      </w:pPr>
      <w:r>
        <w:rPr>
          <w:rFonts w:hint="eastAsia" w:eastAsia="黑体"/>
          <w:b/>
          <w:bCs/>
        </w:rPr>
        <w:t xml:space="preserve">  </w:t>
      </w:r>
      <w:r>
        <w:rPr>
          <w:rFonts w:hint="eastAsia" w:ascii="宋体" w:hAnsi="宋体" w:cs="宋体"/>
          <w:b/>
          <w:bCs/>
        </w:rPr>
        <w:t xml:space="preserve">  3.3  注意事项</w:t>
      </w:r>
    </w:p>
    <w:p>
      <w:pPr>
        <w:adjustRightInd w:val="0"/>
        <w:snapToGrid w:val="0"/>
        <w:spacing w:line="500" w:lineRule="exact"/>
        <w:ind w:firstLine="420" w:firstLineChars="200"/>
      </w:pPr>
      <w: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adjustRightInd w:val="0"/>
        <w:snapToGrid w:val="0"/>
        <w:spacing w:line="500" w:lineRule="exact"/>
        <w:ind w:firstLine="420" w:firstLineChars="200"/>
      </w:pPr>
      <w: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检能够很快恢复正常，可按合格处理。</w:t>
      </w:r>
    </w:p>
    <w:p>
      <w:pPr>
        <w:adjustRightInd w:val="0"/>
        <w:snapToGrid w:val="0"/>
        <w:spacing w:line="500" w:lineRule="exact"/>
        <w:ind w:firstLine="420" w:firstLineChars="200"/>
      </w:pPr>
      <w:r>
        <w:t>3.3.3  血液病的病因复杂，有些病因体检中一时难以明确，且体检的目的主要不是针对病因寻找治疗方法，故应注意把握疾病的诊断，能够作出是否合格的结论即可。除缺铁性贫血外，对其他一些血液病的病因学诊断、病名诊断不必过分深究，例如可作出血小板减少症、紫癜等初步诊断并在此基础上作出不合格结论，而没有必要作出是何种血小板减少症、何种紫癜的诊断。</w:t>
      </w:r>
    </w:p>
    <w:p>
      <w:pPr>
        <w:adjustRightInd w:val="0"/>
        <w:snapToGrid w:val="0"/>
        <w:spacing w:line="500" w:lineRule="exact"/>
        <w:ind w:left="855" w:leftChars="207" w:hanging="420" w:hangingChars="200"/>
      </w:pPr>
      <w:r>
        <w:t>3.3.4  对于外周血血小板轻度增多，一般没有什么病理意义，但若血小板计数达到</w:t>
      </w:r>
    </w:p>
    <w:p>
      <w:pPr>
        <w:adjustRightInd w:val="0"/>
        <w:snapToGrid w:val="0"/>
        <w:spacing w:line="500" w:lineRule="exact"/>
      </w:pPr>
      <w:r>
        <w:t>（500-600）×l0</w:t>
      </w:r>
      <w:r>
        <w:rPr>
          <w:vertAlign w:val="superscript"/>
        </w:rPr>
        <w:t>9</w:t>
      </w:r>
      <w:r>
        <w:t>/L，为慎重起见，最好做出、凝血试验，如果结果正常，则可以肯定是生理性增多，按体检合格处理。</w:t>
      </w:r>
    </w:p>
    <w:p>
      <w:pPr>
        <w:adjustRightInd w:val="0"/>
        <w:snapToGrid w:val="0"/>
        <w:spacing w:line="500" w:lineRule="exact"/>
        <w:ind w:firstLine="420" w:firstLineChars="200"/>
      </w:pPr>
      <w:r>
        <w:t>3.3.5  对于白细胞增多症。一般来说，血白细胞计数增高多为细菌感染所致，一旦消除感染，血象自然恢复正常，故白细胞增多症多为一过性疾病，主检医师在遇到这种情况时应小心对待，作不合格结论时应谨慎考虑。</w:t>
      </w:r>
    </w:p>
    <w:p>
      <w:pPr>
        <w:adjustRightInd w:val="0"/>
        <w:snapToGrid w:val="0"/>
        <w:spacing w:line="500" w:lineRule="exact"/>
        <w:ind w:firstLine="420" w:firstLineChars="200"/>
        <w:rPr>
          <w:rFonts w:hint="eastAsia"/>
        </w:rPr>
      </w:pPr>
      <w:r>
        <w:rPr>
          <w:rFonts w:hint="eastAsia"/>
        </w:rPr>
        <w:t>3.3.6  关于轻度脾肿大，如脾脏厚度轻度增厚等，若血常规、尿常规+镜检、肝功能正常，未发现其他有关疾病的征象，可认定为单纯性轻度脾肿大，可作合格结论。</w:t>
      </w:r>
    </w:p>
    <w:p>
      <w:pPr>
        <w:adjustRightInd w:val="0"/>
        <w:snapToGrid w:val="0"/>
        <w:spacing w:line="500" w:lineRule="exact"/>
        <w:ind w:firstLine="420" w:firstLineChars="200"/>
        <w:rPr>
          <w:rFonts w:hint="eastAsia"/>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4  关于结核病</w:t>
      </w:r>
    </w:p>
    <w:p>
      <w:pPr>
        <w:widowControl/>
        <w:adjustRightInd w:val="0"/>
        <w:snapToGrid w:val="0"/>
        <w:spacing w:line="500" w:lineRule="exact"/>
        <w:jc w:val="left"/>
        <w:rPr>
          <w:rFonts w:hint="eastAsia" w:ascii="楷体_GB2312" w:hAnsi="宋体" w:eastAsia="楷体_GB2312" w:cs="宋体"/>
          <w:b/>
          <w:bCs/>
          <w:kern w:val="0"/>
          <w:szCs w:val="21"/>
        </w:rPr>
      </w:pPr>
      <w:r>
        <w:rPr>
          <w:rFonts w:hint="eastAsia" w:ascii="黑体" w:hAnsi="宋体" w:eastAsia="黑体" w:cs="宋体"/>
          <w:b/>
          <w:bCs/>
          <w:kern w:val="0"/>
          <w:szCs w:val="21"/>
        </w:rPr>
        <w:t xml:space="preserve">    </w:t>
      </w:r>
      <w:r>
        <w:rPr>
          <w:rFonts w:hint="eastAsia" w:ascii="楷体_GB2312" w:hAnsi="宋体" w:eastAsia="楷体_GB2312" w:cs="宋体"/>
          <w:b/>
          <w:bCs/>
          <w:kern w:val="0"/>
          <w:szCs w:val="21"/>
        </w:rPr>
        <w:t>第四条  结核病不合格。但下列情况合格：</w:t>
      </w:r>
    </w:p>
    <w:p>
      <w:pPr>
        <w:widowControl/>
        <w:adjustRightInd w:val="0"/>
        <w:snapToGrid w:val="0"/>
        <w:spacing w:line="500" w:lineRule="exact"/>
        <w:ind w:firstLine="422" w:firstLineChars="200"/>
        <w:jc w:val="left"/>
        <w:rPr>
          <w:rFonts w:hint="eastAsia" w:ascii="楷体_GB2312" w:hAnsi="宋体" w:eastAsia="楷体_GB2312" w:cs="宋体"/>
          <w:b/>
          <w:bCs/>
          <w:kern w:val="0"/>
          <w:szCs w:val="21"/>
        </w:rPr>
      </w:pPr>
      <w:r>
        <w:rPr>
          <w:rFonts w:hint="eastAsia" w:ascii="楷体_GB2312" w:hAnsi="宋体" w:eastAsia="楷体_GB2312" w:cs="宋体"/>
          <w:b/>
          <w:bCs/>
          <w:kern w:val="0"/>
          <w:szCs w:val="21"/>
        </w:rPr>
        <w:t>1．原发性肺结核、继发性肺结核、结核性胸膜炎，临床治愈后稳定1年无变化者；</w:t>
      </w:r>
    </w:p>
    <w:p>
      <w:pPr>
        <w:widowControl/>
        <w:adjustRightInd w:val="0"/>
        <w:snapToGrid w:val="0"/>
        <w:spacing w:line="500" w:lineRule="exact"/>
        <w:ind w:firstLine="422" w:firstLineChars="200"/>
        <w:jc w:val="left"/>
        <w:rPr>
          <w:rFonts w:hint="eastAsia" w:ascii="楷体_GB2312" w:hAnsi="宋体" w:eastAsia="楷体_GB2312" w:cs="宋体"/>
          <w:b/>
          <w:bCs/>
          <w:kern w:val="0"/>
          <w:szCs w:val="21"/>
        </w:rPr>
      </w:pPr>
      <w:r>
        <w:rPr>
          <w:rFonts w:hint="eastAsia" w:ascii="楷体_GB2312" w:hAnsi="宋体" w:eastAsia="楷体_GB2312" w:cs="宋体"/>
          <w:b/>
          <w:bCs/>
          <w:kern w:val="0"/>
          <w:szCs w:val="21"/>
        </w:rPr>
        <w:t>2．肺外结核病：肾结核、骨结核、腹膜结核、淋巴结核等，临床治愈后2年无复发，经专科医疗机构检查无变化者。</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4.1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4.1.1  结核病的临床分类  采用1998年制定的中国结核病分类法。</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1）原发性肺结核（Ⅰ型）： 指初次感染引起的结核病，包括原发综合征及胸内淋巴结结核。多数患者临床症状轻微。本型肺结核多见于儿童，近年来青年和成年人发病率有增高趋势。</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4）结核性胸膜炎（Ⅳ型）： 可发生于任何年龄，胸膜炎可与肺部结核同时出现，也可单独发生而肺内未见结核病灶，临床上分为干性和渗出性结核性胸膜炎。</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Cs w:val="21"/>
        </w:rPr>
        <w:t>、</w:t>
      </w:r>
      <w:r>
        <w:rPr>
          <w:rFonts w:hint="eastAsia" w:ascii="宋体" w:hAnsi="宋体" w:cs="宋体"/>
          <w:kern w:val="0"/>
          <w:szCs w:val="21"/>
        </w:rPr>
        <w:t>肠结核、肠系膜淋巴结结核、泌尿生殖系结核及淋巴结核等。</w:t>
      </w:r>
    </w:p>
    <w:p>
      <w:pPr>
        <w:widowControl/>
        <w:adjustRightInd w:val="0"/>
        <w:snapToGrid w:val="0"/>
        <w:spacing w:line="500" w:lineRule="exact"/>
        <w:jc w:val="left"/>
        <w:rPr>
          <w:rFonts w:hint="eastAsia" w:ascii="宋体" w:hAnsi="宋体" w:cs="宋体"/>
          <w:color w:val="FF00FF"/>
          <w:kern w:val="0"/>
          <w:szCs w:val="21"/>
        </w:rPr>
      </w:pPr>
      <w:r>
        <w:rPr>
          <w:rFonts w:hint="eastAsia" w:ascii="宋体" w:hAnsi="宋体" w:cs="宋体"/>
          <w:kern w:val="0"/>
          <w:szCs w:val="21"/>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按照本条款规定，结核病必须达到临床治愈并稳定1～2年方可作合格结论。具体判定标准如下：</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【肺结核临床治愈】</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【肺外结核临床治愈】</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经规范疗程的抗结核药物治疗，停药后病变全部吸收或无活动性（病灶稳定），分泌物结核分枝杆菌培养阴性，经过2年的观察随访，无细菌学复发和病灶活动，可以作出临床治愈的诊断及合格的结论。</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4.2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4.2.1  肺结核 </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1）病史询问要点：有无肺结核接触史，有无低热、盗汗、乏力、消瘦、食欲不振等全身症状，有无咳嗽、咯痰、咯血、胸痛等呼吸系统症状。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widowControl/>
        <w:adjustRightInd w:val="0"/>
        <w:snapToGrid w:val="0"/>
        <w:spacing w:line="500" w:lineRule="exact"/>
        <w:ind w:left="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⑴胸部X线检查：可以判断病变部位、范围、性质及有无空洞形成等，并根据X线表现确定肺结核的类型。</w:t>
      </w:r>
      <w:r>
        <w:rPr>
          <w:rFonts w:hint="eastAsia" w:cs="宋体"/>
          <w:kern w:val="0"/>
          <w:szCs w:val="21"/>
        </w:rPr>
        <w:t>由于轻症肺结核的临床症状和体征多不典型或完全缺如，痰检阳性率不高，</w:t>
      </w:r>
      <w:r>
        <w:rPr>
          <w:rFonts w:hint="eastAsia" w:ascii="宋体" w:hAnsi="宋体" w:cs="宋体"/>
          <w:kern w:val="0"/>
          <w:szCs w:val="21"/>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各型肺结核的胸部X线表现如下：</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4.2.2  其他肺外结核</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4.3  注意事项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widowControl/>
        <w:adjustRightInd w:val="0"/>
        <w:snapToGrid w:val="0"/>
        <w:spacing w:line="500" w:lineRule="exact"/>
        <w:jc w:val="left"/>
        <w:rPr>
          <w:rFonts w:hint="eastAsia" w:cs="宋体"/>
          <w:kern w:val="0"/>
          <w:szCs w:val="21"/>
        </w:rPr>
      </w:pPr>
      <w:r>
        <w:rPr>
          <w:rFonts w:hint="eastAsia" w:ascii="宋体" w:hAnsi="宋体" w:cs="宋体"/>
          <w:kern w:val="0"/>
          <w:szCs w:val="21"/>
        </w:rPr>
        <w:t>4.3.2</w:t>
      </w:r>
      <w:r>
        <w:rPr>
          <w:rFonts w:ascii="宋体" w:hAnsi="宋体" w:cs="宋体"/>
          <w:kern w:val="0"/>
          <w:szCs w:val="21"/>
        </w:rPr>
        <w:t xml:space="preserve">  </w:t>
      </w:r>
      <w:r>
        <w:rPr>
          <w:rFonts w:hint="eastAsia" w:cs="宋体"/>
          <w:kern w:val="0"/>
          <w:szCs w:val="21"/>
        </w:rPr>
        <w:t>结核病临床治愈须以二级以上专科医院</w:t>
      </w:r>
      <w:r>
        <w:rPr>
          <w:rFonts w:hint="eastAsia" w:ascii="宋体" w:hAnsi="宋体" w:cs="宋体"/>
          <w:kern w:val="0"/>
          <w:szCs w:val="21"/>
        </w:rPr>
        <w:t>（含二级专科医院）或</w:t>
      </w:r>
      <w:r>
        <w:rPr>
          <w:rFonts w:hint="eastAsia" w:cs="宋体"/>
          <w:kern w:val="0"/>
          <w:szCs w:val="21"/>
        </w:rPr>
        <w:t>结核病防治机构出具的诊断证明为依据，诊断证明应有病情摘要，内容包括诊断、用药经过、停药时间、疗效以及目前情况，以作为判断是否合格的依据。</w:t>
      </w:r>
    </w:p>
    <w:p>
      <w:pPr>
        <w:widowControl/>
        <w:adjustRightInd w:val="0"/>
        <w:snapToGrid w:val="0"/>
        <w:spacing w:line="500" w:lineRule="exact"/>
        <w:jc w:val="left"/>
        <w:rPr>
          <w:rFonts w:hint="eastAsia" w:cs="宋体"/>
          <w:kern w:val="0"/>
          <w:szCs w:val="21"/>
        </w:rPr>
      </w:pPr>
    </w:p>
    <w:p>
      <w:pPr>
        <w:widowControl/>
        <w:adjustRightInd w:val="0"/>
        <w:snapToGrid w:val="0"/>
        <w:spacing w:line="500" w:lineRule="exact"/>
        <w:jc w:val="left"/>
        <w:rPr>
          <w:rFonts w:ascii="黑体" w:hAnsi="宋体" w:eastAsia="黑体" w:cs="宋体"/>
          <w:b/>
          <w:bCs/>
          <w:kern w:val="0"/>
          <w:szCs w:val="21"/>
        </w:rPr>
      </w:pPr>
      <w:r>
        <w:rPr>
          <w:rFonts w:hint="eastAsia" w:ascii="黑体" w:hAnsi="宋体" w:eastAsia="黑体" w:cs="宋体"/>
          <w:b/>
          <w:bCs/>
          <w:kern w:val="0"/>
          <w:szCs w:val="21"/>
        </w:rPr>
        <w:t>5  关于呼吸系统疾病</w:t>
      </w:r>
    </w:p>
    <w:p>
      <w:pPr>
        <w:widowControl/>
        <w:adjustRightInd w:val="0"/>
        <w:snapToGrid w:val="0"/>
        <w:spacing w:line="500" w:lineRule="exact"/>
        <w:ind w:firstLine="422" w:firstLineChars="200"/>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第五条  慢性支气管炎伴阻塞性肺气肿、支气管扩张、支气管哮喘，不合格。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5.1  条文解释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5.2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5.2.1  慢性支气管炎</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1）病史询问要点：有无慢性发作性咳嗽、咯痰、呼吸困难等症状；注意环境、职业接触史、吸烟史、药物应用史、过敏史、家族史等。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根据疾病的程度不同，体征有很大差异。体检时应注意肺部听诊，注意肺部有无湿、干啰音，有无肺气肿的相关体征（如桶状胸、肋间隙饱满、心浊音界缩小或消失、呼吸音减弱、肝浊音界下降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widowControl/>
        <w:adjustRightInd w:val="0"/>
        <w:snapToGrid w:val="0"/>
        <w:spacing w:line="500" w:lineRule="exact"/>
        <w:jc w:val="left"/>
        <w:rPr>
          <w:rFonts w:hint="eastAsia" w:ascii="宋体" w:hAnsi="宋体" w:cs="宋体"/>
          <w:b/>
          <w:bCs/>
          <w:kern w:val="0"/>
          <w:szCs w:val="21"/>
        </w:rPr>
      </w:pPr>
      <w:r>
        <w:rPr>
          <w:rFonts w:hint="eastAsia" w:ascii="宋体" w:hAnsi="宋体" w:cs="宋体"/>
          <w:kern w:val="0"/>
          <w:szCs w:val="21"/>
        </w:rPr>
        <w:t>5.2.2  阻塞性肺气肿</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1）病史询问要点：有无反复发作的咳嗽、咯痰、进行性呼吸困难等症状；注意环境、职业接触史、吸烟史、药物应用史、过敏史、家族史等。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2）查体要点：主要特点为桶状胸、肋间隙饱满、心浊音界缩小或消失、呼吸音减弱、肝浊音界下降等。</w:t>
      </w:r>
    </w:p>
    <w:p>
      <w:pPr>
        <w:widowControl/>
        <w:adjustRightInd w:val="0"/>
        <w:snapToGrid w:val="0"/>
        <w:spacing w:line="500" w:lineRule="exact"/>
        <w:ind w:firstLine="420" w:firstLineChars="200"/>
        <w:jc w:val="left"/>
        <w:rPr>
          <w:rFonts w:hint="eastAsia" w:ascii="宋体" w:hAnsi="宋体" w:cs="宋体"/>
          <w:b/>
          <w:bCs/>
          <w:kern w:val="0"/>
          <w:szCs w:val="21"/>
        </w:rPr>
      </w:pPr>
      <w:r>
        <w:rPr>
          <w:rFonts w:hint="eastAsia" w:ascii="宋体" w:hAnsi="宋体" w:cs="宋体"/>
          <w:kern w:val="0"/>
          <w:szCs w:val="21"/>
        </w:rPr>
        <w:t>3）辅助检查要点：胸部X线检查可见肺过度充气表现，如胸廓饱满、肋间隙增宽、膈肌位置下移、两肺透亮度增高等。一般根据胸部X线检查即可明确诊断。</w:t>
      </w:r>
    </w:p>
    <w:p>
      <w:pPr>
        <w:widowControl/>
        <w:adjustRightInd w:val="0"/>
        <w:snapToGrid w:val="0"/>
        <w:spacing w:line="500" w:lineRule="exact"/>
        <w:jc w:val="left"/>
        <w:rPr>
          <w:rFonts w:hint="eastAsia" w:ascii="宋体" w:hAnsi="宋体" w:cs="宋体"/>
          <w:b/>
          <w:bCs/>
          <w:kern w:val="0"/>
          <w:szCs w:val="21"/>
        </w:rPr>
      </w:pPr>
      <w:r>
        <w:rPr>
          <w:rFonts w:hint="eastAsia" w:ascii="宋体" w:hAnsi="宋体" w:cs="宋体"/>
          <w:kern w:val="0"/>
          <w:szCs w:val="21"/>
        </w:rPr>
        <w:t>5.2.3  支气管扩张</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1）病史询问要点：有无慢性咳嗽、咯脓痰、咯血、胸痛史，有无发热、盗汗等症状；注意环境、职业接触史、吸烟史、药物应用史、过敏史、家族史等。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2）查体要点：听诊注意有无湿啰音，观察有无杵状指（趾）、贫血等体征。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3）辅助检查要点：胸部X线检查可见肺纹理增多、增粗、卷发征、液平面、肺不张等。一般根据病史、临床表现和胸部X线检查即可诊断。必要时可做CT等检查，以进一步确诊。</w:t>
      </w:r>
    </w:p>
    <w:p>
      <w:pPr>
        <w:widowControl/>
        <w:adjustRightInd w:val="0"/>
        <w:snapToGrid w:val="0"/>
        <w:spacing w:line="500" w:lineRule="exact"/>
        <w:jc w:val="left"/>
        <w:rPr>
          <w:rFonts w:hint="eastAsia" w:ascii="宋体" w:hAnsi="宋体" w:cs="宋体"/>
          <w:b/>
          <w:bCs/>
          <w:kern w:val="0"/>
          <w:szCs w:val="21"/>
        </w:rPr>
      </w:pPr>
      <w:r>
        <w:rPr>
          <w:rFonts w:hint="eastAsia" w:ascii="宋体" w:hAnsi="宋体" w:cs="宋体"/>
          <w:kern w:val="0"/>
          <w:szCs w:val="21"/>
        </w:rPr>
        <w:t>5.2.4  支气管哮喘</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2）查体要点：发作期内双肺可闻及散在或弥漫性、以呼气相为主的哮鸣音，呼气相延长；未发作期可无阳性体征。</w:t>
      </w:r>
    </w:p>
    <w:p>
      <w:pPr>
        <w:widowControl/>
        <w:adjustRightInd w:val="0"/>
        <w:snapToGrid w:val="0"/>
        <w:spacing w:line="500" w:lineRule="exact"/>
        <w:ind w:firstLine="420" w:firstLineChars="200"/>
        <w:jc w:val="left"/>
        <w:rPr>
          <w:rFonts w:hint="eastAsia" w:ascii="宋体" w:hAnsi="宋体" w:cs="宋体"/>
          <w:b/>
          <w:bCs/>
          <w:kern w:val="0"/>
          <w:szCs w:val="21"/>
        </w:rPr>
      </w:pPr>
      <w:r>
        <w:rPr>
          <w:rFonts w:hint="eastAsia" w:ascii="宋体" w:hAnsi="宋体" w:cs="宋体"/>
          <w:kern w:val="0"/>
          <w:szCs w:val="21"/>
        </w:rPr>
        <w:t>3）辅助检查要点：一般根据病史、临床表现即可诊断。必要时可进行其他相关检查，以进一步确诊。</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5.3  注意事项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widowControl/>
        <w:adjustRightInd w:val="0"/>
        <w:snapToGrid w:val="0"/>
        <w:spacing w:line="500" w:lineRule="exact"/>
        <w:jc w:val="left"/>
        <w:rPr>
          <w:szCs w:val="21"/>
        </w:rPr>
      </w:pPr>
      <w:r>
        <w:rPr>
          <w:rFonts w:hint="eastAsia" w:ascii="宋体" w:hAnsi="宋体" w:cs="宋体"/>
          <w:kern w:val="0"/>
          <w:szCs w:val="21"/>
        </w:rPr>
        <w:t>5.3.2  《标准》条款中所列出的疾病随病程进展均严重影响呼吸功能。凡影响呼吸功能的严重肺部疾病，如矽肺、结节病、肺纤维化等，也应同样处理，作不合格结论。</w:t>
      </w:r>
    </w:p>
    <w:p>
      <w:pPr>
        <w:adjustRightInd w:val="0"/>
        <w:snapToGrid w:val="0"/>
        <w:spacing w:line="500" w:lineRule="exact"/>
        <w:ind w:firstLine="420" w:firstLineChars="200"/>
        <w:rPr>
          <w:szCs w:val="21"/>
        </w:rPr>
      </w:pPr>
    </w:p>
    <w:p>
      <w:pPr>
        <w:pStyle w:val="3"/>
        <w:adjustRightInd w:val="0"/>
        <w:snapToGrid w:val="0"/>
        <w:spacing w:before="0" w:after="0" w:line="500" w:lineRule="exact"/>
        <w:rPr>
          <w:rFonts w:hint="eastAsia" w:ascii="黑体" w:hAnsi="黑体" w:eastAsia="黑体" w:cs="黑体"/>
          <w:sz w:val="21"/>
          <w:szCs w:val="21"/>
        </w:rPr>
      </w:pPr>
      <w:bookmarkStart w:id="19" w:name="_Toc391888329"/>
      <w:r>
        <w:rPr>
          <w:rFonts w:hint="eastAsia" w:ascii="黑体" w:hAnsi="黑体" w:eastAsia="黑体" w:cs="黑体"/>
          <w:sz w:val="21"/>
          <w:szCs w:val="21"/>
        </w:rPr>
        <w:t>6  关于消化系统疾病</w:t>
      </w:r>
      <w:bookmarkEnd w:id="19"/>
    </w:p>
    <w:p>
      <w:pPr>
        <w:adjustRightInd w:val="0"/>
        <w:snapToGrid w:val="0"/>
        <w:spacing w:line="500" w:lineRule="exact"/>
        <w:ind w:firstLine="413" w:firstLineChars="196"/>
        <w:rPr>
          <w:rFonts w:eastAsia="楷体_GB2312"/>
          <w:b/>
          <w:bCs/>
          <w:szCs w:val="21"/>
        </w:rPr>
      </w:pPr>
      <w:r>
        <w:rPr>
          <w:rFonts w:eastAsia="楷体_GB2312"/>
          <w:b/>
          <w:bCs/>
          <w:szCs w:val="21"/>
        </w:rPr>
        <w:t>第六条  慢性胰腺炎、溃疡性结肠炎、克罗恩病等严重慢性消化系统疾病，不合格。胃次全切除术后无严重并发症者，合格。</w:t>
      </w:r>
    </w:p>
    <w:p>
      <w:pPr>
        <w:adjustRightInd w:val="0"/>
        <w:snapToGrid w:val="0"/>
        <w:spacing w:line="500" w:lineRule="exact"/>
        <w:rPr>
          <w:rFonts w:hint="eastAsia" w:ascii="宋体" w:hAnsi="宋体" w:cs="宋体"/>
          <w:b/>
          <w:bCs/>
          <w:szCs w:val="21"/>
        </w:rPr>
      </w:pPr>
      <w:r>
        <w:rPr>
          <w:rFonts w:hint="eastAsia" w:eastAsia="黑体"/>
          <w:b/>
          <w:bCs/>
          <w:szCs w:val="21"/>
        </w:rPr>
        <w:t xml:space="preserve">   </w:t>
      </w:r>
      <w:r>
        <w:rPr>
          <w:rFonts w:hint="eastAsia" w:ascii="宋体" w:hAnsi="宋体" w:cs="宋体"/>
          <w:b/>
          <w:bCs/>
          <w:szCs w:val="21"/>
        </w:rPr>
        <w:t xml:space="preserve"> 6.1  条文解释</w:t>
      </w:r>
    </w:p>
    <w:p>
      <w:pPr>
        <w:adjustRightInd w:val="0"/>
        <w:snapToGrid w:val="0"/>
        <w:spacing w:line="500" w:lineRule="exact"/>
        <w:ind w:firstLine="420" w:firstLineChars="200"/>
        <w:rPr>
          <w:szCs w:val="21"/>
        </w:rPr>
      </w:pPr>
      <w:r>
        <w:rPr>
          <w:szCs w:val="21"/>
        </w:rPr>
        <w:t>本条款所指的消化系统疾病主要包括食管疾病、胃十二指肠疾病、小肠疾病、结肠疾病、肝胆疾病和胰腺疾病等。食管疾病常见病种有反流性食管炎，胃十二指肠疾病常见病种有慢性胃炎（浅表性胃炎、萎缩性胃炎等）、胃溃疡、十二指肠溃疡等，小肠疾病常见病种有肠结核、克罗恩病等，结肠疾病常见的有溃疡性结肠炎，肝胆疾病常见的有慢性胆囊炎，胰腺疾病常见的有慢性胰腺炎，等等。</w:t>
      </w:r>
    </w:p>
    <w:p>
      <w:pPr>
        <w:adjustRightInd w:val="0"/>
        <w:snapToGrid w:val="0"/>
        <w:spacing w:line="500" w:lineRule="exact"/>
        <w:ind w:firstLine="420" w:firstLineChars="200"/>
        <w:rPr>
          <w:szCs w:val="21"/>
        </w:rPr>
      </w:pPr>
      <w:r>
        <w:rPr>
          <w:szCs w:val="21"/>
        </w:rPr>
        <w:t>消化系统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消化系统疾病的诊断中占有重要地位，受检者必须如实反映病史，否则按有关规定处理；体检医师应认真询问病史，全面查体，必要时提出合理和可能进行的进一步检查，力求明确诊断，以便作出合格与否的结论。</w:t>
      </w:r>
    </w:p>
    <w:p>
      <w:pPr>
        <w:adjustRightInd w:val="0"/>
        <w:snapToGrid w:val="0"/>
        <w:spacing w:line="500" w:lineRule="exact"/>
        <w:ind w:firstLine="420" w:firstLineChars="200"/>
        <w:rPr>
          <w:szCs w:val="21"/>
        </w:rPr>
      </w:pPr>
      <w:r>
        <w:rPr>
          <w:szCs w:val="21"/>
        </w:rPr>
        <w:t>本条款规定严重慢性</w:t>
      </w:r>
      <w:r>
        <w:rPr>
          <w:bCs/>
          <w:szCs w:val="21"/>
        </w:rPr>
        <w:t>消化系统疾</w:t>
      </w:r>
      <w:r>
        <w:rPr>
          <w:szCs w:val="21"/>
        </w:rPr>
        <w:t>病不合格。“严重”主要指以下几种情况：①症状反复发作、迁延不愈者；②病情进行性加重或已不能正常工作和生活；③现有或近期内曾发生过严重并发症（如消化道梗阻、出血、贫血、穿孔、营养不良、其他器官损害等）者；④患者的消化系统疾病临床上尚没有有效的治疗方法，难以治愈，预后差。存在上述任何一种情况，都很难为国家正常、长久地工作，影响履行岗位职责，应视为“严重”的消化系统疾病，作不合格结论。而某些病，如消化性溃疡（包括十二指肠溃疡、胃溃疡），经过规范的药物治疗完全可以痊愈，如饮食等加以注意，甚至可以终身不再发作；还有功能性消化不良、慢性胃炎、慢性胆囊炎等，由于症状轻微，容易控制或治愈。因此，这些疾病不能算“严重”，应属体检合格。</w:t>
      </w:r>
    </w:p>
    <w:p>
      <w:pPr>
        <w:adjustRightInd w:val="0"/>
        <w:snapToGrid w:val="0"/>
        <w:spacing w:line="500" w:lineRule="exact"/>
        <w:ind w:firstLine="420" w:firstLineChars="200"/>
        <w:rPr>
          <w:szCs w:val="21"/>
        </w:rPr>
      </w:pPr>
      <w:r>
        <w:rPr>
          <w:szCs w:val="21"/>
        </w:rPr>
        <w:t>“胃次全切除术后无严重并发症者，合格”的含义：</w:t>
      </w:r>
    </w:p>
    <w:p>
      <w:pPr>
        <w:adjustRightInd w:val="0"/>
        <w:snapToGrid w:val="0"/>
        <w:spacing w:line="500" w:lineRule="exact"/>
        <w:ind w:firstLine="420" w:firstLineChars="200"/>
        <w:rPr>
          <w:rFonts w:hint="eastAsia" w:ascii="楷体" w:hAnsi="楷体" w:eastAsia="楷体" w:cs="楷体"/>
          <w:b/>
          <w:color w:val="7030A0"/>
          <w:szCs w:val="21"/>
        </w:rPr>
      </w:pPr>
      <w:r>
        <w:rPr>
          <w:szCs w:val="21"/>
        </w:rPr>
        <w:t>胃次全切除术后并发症的发生率为5%-15%。并发症分为两期，即早期并发症和远期并发症，一般而言，严重的并发症多发生在术后早期，如术中损伤周围脏器，或术后因发生某种并发症需要再次手术等情况，应属“严重”并发症。胃次全切除术后一旦发生早期并发症，大多数都比较严重，譬如，胆总管损伤，腹腔内出血，吻合口瘘或十二指肠残端破裂，空肠输入袢综合征，空肠输出袢梗阻，吻合口梗阻，等等。远期并发症一般症状较轻，药物或饮食治疗易控制，一般无需再次手术治疗，且多数患者也已适应，如脂肪泻、症状轻微的倾倒综合征等，治疗较容易，预后好，不影响日常工作，可作体检合格结论。值得注意的是，术后还可引起缺铁性贫血和巨细胞性贫血。前者主要是因为胃切除术后胃酸分泌减少、进食量小，铁的摄入不足，可补充铁剂。后者主要是因为胃切除术后壁细胞生成的内因子不足，造成维生素B</w:t>
      </w:r>
      <w:r>
        <w:rPr>
          <w:szCs w:val="21"/>
          <w:vertAlign w:val="subscript"/>
        </w:rPr>
        <w:t>12</w:t>
      </w:r>
      <w:r>
        <w:rPr>
          <w:szCs w:val="21"/>
        </w:rPr>
        <w:t>吸收障碍，可给予维生素B</w:t>
      </w:r>
      <w:r>
        <w:rPr>
          <w:szCs w:val="21"/>
          <w:vertAlign w:val="subscript"/>
        </w:rPr>
        <w:t>12</w:t>
      </w:r>
      <w:r>
        <w:rPr>
          <w:szCs w:val="21"/>
        </w:rPr>
        <w:t>补充治疗。从手术后并发症角度看，无论是缺铁性贫血还是巨细胞性贫血，都不属于“严重”的并发症，本应做合格结论，但结合体检标准第三条及操作手册的相关解释，这两种贫血特别是因为维生素B</w:t>
      </w:r>
      <w:r>
        <w:rPr>
          <w:szCs w:val="21"/>
          <w:vertAlign w:val="subscript"/>
        </w:rPr>
        <w:t>12</w:t>
      </w:r>
      <w:r>
        <w:rPr>
          <w:szCs w:val="21"/>
        </w:rPr>
        <w:t>缺乏引起的巨细胞性贫血，都不属于“单纯性缺铁性贫血”，故根据体检标准第三条规定，属体检不合格。</w:t>
      </w:r>
    </w:p>
    <w:p>
      <w:pPr>
        <w:adjustRightInd w:val="0"/>
        <w:snapToGrid w:val="0"/>
        <w:spacing w:line="500" w:lineRule="exact"/>
        <w:rPr>
          <w:rFonts w:hint="eastAsia" w:ascii="宋体" w:hAnsi="宋体" w:cs="宋体"/>
          <w:b/>
          <w:bCs/>
          <w:szCs w:val="21"/>
        </w:rPr>
      </w:pPr>
      <w:r>
        <w:rPr>
          <w:rFonts w:hint="eastAsia" w:eastAsia="黑体"/>
          <w:b/>
          <w:bCs/>
          <w:szCs w:val="21"/>
        </w:rPr>
        <w:t xml:space="preserve">  </w:t>
      </w:r>
      <w:r>
        <w:rPr>
          <w:rFonts w:hint="eastAsia" w:ascii="宋体" w:hAnsi="宋体" w:cs="宋体"/>
          <w:b/>
          <w:bCs/>
          <w:szCs w:val="21"/>
        </w:rPr>
        <w:t xml:space="preserve">  6.2  诊断要点</w:t>
      </w:r>
    </w:p>
    <w:p>
      <w:pPr>
        <w:adjustRightInd w:val="0"/>
        <w:snapToGrid w:val="0"/>
        <w:spacing w:line="500" w:lineRule="exact"/>
        <w:ind w:firstLine="420" w:firstLineChars="200"/>
        <w:rPr>
          <w:szCs w:val="21"/>
        </w:rPr>
      </w:pPr>
      <w:r>
        <w:rPr>
          <w:bCs/>
          <w:szCs w:val="21"/>
        </w:rPr>
        <w:t>消化系统</w:t>
      </w:r>
      <w:r>
        <w:rPr>
          <w:szCs w:val="21"/>
        </w:rPr>
        <w:t>疾病种类繁多，除恶性肿瘤外，现仅就较为常见者简述如下：</w:t>
      </w:r>
    </w:p>
    <w:p>
      <w:pPr>
        <w:adjustRightInd w:val="0"/>
        <w:snapToGrid w:val="0"/>
        <w:spacing w:line="500" w:lineRule="exact"/>
        <w:ind w:firstLine="420" w:firstLineChars="200"/>
        <w:rPr>
          <w:szCs w:val="21"/>
        </w:rPr>
      </w:pPr>
      <w:r>
        <w:rPr>
          <w:szCs w:val="21"/>
        </w:rPr>
        <w:t>6.2.1  食管裂孔疝  是指腹腔内脏器（主要是胃）经正常横膈上的食管裂孔凸入胸腔，其临床表现多与并发的反流性食管炎有关。</w:t>
      </w:r>
    </w:p>
    <w:p>
      <w:pPr>
        <w:adjustRightInd w:val="0"/>
        <w:snapToGrid w:val="0"/>
        <w:spacing w:line="500" w:lineRule="exact"/>
        <w:ind w:firstLine="420" w:firstLineChars="200"/>
        <w:rPr>
          <w:szCs w:val="21"/>
        </w:rPr>
      </w:pPr>
      <w:r>
        <w:rPr>
          <w:szCs w:val="21"/>
        </w:rPr>
        <w:t>1）病史询问要点：有无胸骨后烧灼感或隐痛、反胃，吞咽后有无食物停滞感，有无反酸、嗳气、腹胀；重者可有贫血、心悸、咳嗽、发绀等表现，还可并发食管炎、食管溃疡和狭窄、上消化道出血、癌变等病变，而出现相应症状。</w:t>
      </w:r>
    </w:p>
    <w:p>
      <w:pPr>
        <w:adjustRightInd w:val="0"/>
        <w:snapToGrid w:val="0"/>
        <w:spacing w:line="500" w:lineRule="exact"/>
        <w:ind w:firstLine="420" w:firstLineChars="200"/>
        <w:rPr>
          <w:szCs w:val="21"/>
        </w:rPr>
      </w:pPr>
      <w:r>
        <w:rPr>
          <w:szCs w:val="21"/>
        </w:rPr>
        <w:t>2）查体要点：无并发症时无特殊体征。</w:t>
      </w:r>
    </w:p>
    <w:p>
      <w:pPr>
        <w:adjustRightInd w:val="0"/>
        <w:snapToGrid w:val="0"/>
        <w:spacing w:line="500" w:lineRule="exact"/>
        <w:ind w:firstLine="420" w:firstLineChars="200"/>
        <w:rPr>
          <w:szCs w:val="21"/>
        </w:rPr>
      </w:pPr>
      <w:r>
        <w:rPr>
          <w:szCs w:val="21"/>
        </w:rPr>
        <w:t>3）辅助检查要点：X线钡餐造影多可诊断，必要时可作内镜检查。</w:t>
      </w:r>
    </w:p>
    <w:p>
      <w:pPr>
        <w:adjustRightInd w:val="0"/>
        <w:snapToGrid w:val="0"/>
        <w:spacing w:line="500" w:lineRule="exact"/>
        <w:ind w:firstLine="420" w:firstLineChars="200"/>
        <w:rPr>
          <w:szCs w:val="21"/>
        </w:rPr>
      </w:pPr>
      <w:r>
        <w:rPr>
          <w:szCs w:val="21"/>
        </w:rPr>
        <w:t>症状较重、治疗效果差或有并发症者，不合格；症状轻微、不治疗能正常工作者，合格。</w:t>
      </w:r>
    </w:p>
    <w:p>
      <w:pPr>
        <w:adjustRightInd w:val="0"/>
        <w:snapToGrid w:val="0"/>
        <w:spacing w:line="500" w:lineRule="exact"/>
        <w:ind w:firstLine="420" w:firstLineChars="200"/>
        <w:rPr>
          <w:szCs w:val="21"/>
        </w:rPr>
      </w:pPr>
      <w:r>
        <w:rPr>
          <w:szCs w:val="21"/>
        </w:rPr>
        <w:t>6.2.2  反流性食管炎  是指胃及十二指肠内容物反流至食管内而引起的食管黏膜炎性病变，严重者可并发食管狭窄、出血、穿孔等。</w:t>
      </w:r>
    </w:p>
    <w:p>
      <w:pPr>
        <w:adjustRightInd w:val="0"/>
        <w:snapToGrid w:val="0"/>
        <w:spacing w:line="500" w:lineRule="exact"/>
        <w:ind w:firstLine="420" w:firstLineChars="200"/>
        <w:rPr>
          <w:szCs w:val="21"/>
        </w:rPr>
      </w:pPr>
      <w:r>
        <w:rPr>
          <w:szCs w:val="21"/>
        </w:rPr>
        <w:t>1）病史询问要点：有无反酸、烧心（饭后1～2 h多见），有无胸骨后、剑突下痛并向肩、背、上肢、颈项部放射，有无吞咽困难、反胃等。本病可并发贫血（急、慢性出血而致）、声带炎、咳嗽、哮喘等，甚至以并发症为首发的主要症状。</w:t>
      </w:r>
    </w:p>
    <w:p>
      <w:pPr>
        <w:adjustRightInd w:val="0"/>
        <w:snapToGrid w:val="0"/>
        <w:spacing w:line="500" w:lineRule="exact"/>
        <w:ind w:firstLine="420" w:firstLineChars="200"/>
        <w:rPr>
          <w:szCs w:val="21"/>
        </w:rPr>
      </w:pPr>
      <w:r>
        <w:rPr>
          <w:szCs w:val="21"/>
        </w:rPr>
        <w:t>进食酒精类饮料、甜食、浓茶、冷水等易诱发，弯腰前倾、腹部用力等使腹压升高的特定体位也可诱发症状，为本病的特点。</w:t>
      </w:r>
    </w:p>
    <w:p>
      <w:pPr>
        <w:adjustRightInd w:val="0"/>
        <w:snapToGrid w:val="0"/>
        <w:spacing w:line="500" w:lineRule="exact"/>
        <w:ind w:firstLine="420" w:firstLineChars="200"/>
        <w:rPr>
          <w:szCs w:val="21"/>
        </w:rPr>
      </w:pPr>
      <w:r>
        <w:rPr>
          <w:szCs w:val="21"/>
        </w:rPr>
        <w:t>2）查体要点：无并发症时无特殊体征。</w:t>
      </w:r>
    </w:p>
    <w:p>
      <w:pPr>
        <w:adjustRightInd w:val="0"/>
        <w:snapToGrid w:val="0"/>
        <w:spacing w:line="500" w:lineRule="exact"/>
        <w:ind w:firstLine="420" w:firstLineChars="200"/>
        <w:rPr>
          <w:szCs w:val="21"/>
        </w:rPr>
      </w:pPr>
      <w:r>
        <w:rPr>
          <w:szCs w:val="21"/>
        </w:rPr>
        <w:t>3）辅助检查要点：X线钡餐造影检查对本病有临床诊断价值；胃镜可直视炎症的范围及程度。</w:t>
      </w:r>
    </w:p>
    <w:p>
      <w:pPr>
        <w:adjustRightInd w:val="0"/>
        <w:snapToGrid w:val="0"/>
        <w:spacing w:line="500" w:lineRule="exact"/>
        <w:ind w:firstLine="420" w:firstLineChars="200"/>
        <w:rPr>
          <w:szCs w:val="21"/>
        </w:rPr>
      </w:pPr>
      <w:r>
        <w:rPr>
          <w:szCs w:val="21"/>
        </w:rPr>
        <w:t>症状轻、不治疗能正常生活工作、无严重并发症（如贫血、声带炎、哮喘等）者，合格；否则作不合格结论。</w:t>
      </w:r>
    </w:p>
    <w:p>
      <w:pPr>
        <w:adjustRightInd w:val="0"/>
        <w:snapToGrid w:val="0"/>
        <w:spacing w:line="500" w:lineRule="exact"/>
        <w:ind w:firstLine="420" w:firstLineChars="200"/>
        <w:rPr>
          <w:szCs w:val="21"/>
        </w:rPr>
      </w:pPr>
      <w:r>
        <w:rPr>
          <w:szCs w:val="21"/>
        </w:rPr>
        <w:t>注意：本病易误诊为心绞痛，临床上本病约50%曾被误诊为心绞痛，须注意鉴别。同时应注意勿漏诊食管癌。</w:t>
      </w:r>
    </w:p>
    <w:p>
      <w:pPr>
        <w:adjustRightInd w:val="0"/>
        <w:snapToGrid w:val="0"/>
        <w:spacing w:line="500" w:lineRule="exact"/>
        <w:ind w:firstLine="420" w:firstLineChars="200"/>
        <w:rPr>
          <w:szCs w:val="21"/>
        </w:rPr>
      </w:pPr>
      <w:r>
        <w:rPr>
          <w:szCs w:val="21"/>
        </w:rPr>
        <w:t>6.2.3  慢性胃炎  指多种原因引起的胃黏膜的慢性炎症性病变，主要分为浅表性胃炎和萎缩性胃炎两种，发病率随年龄而增加。</w:t>
      </w:r>
    </w:p>
    <w:p>
      <w:pPr>
        <w:adjustRightInd w:val="0"/>
        <w:snapToGrid w:val="0"/>
        <w:spacing w:line="500" w:lineRule="exact"/>
        <w:ind w:firstLine="420" w:firstLineChars="200"/>
        <w:rPr>
          <w:szCs w:val="21"/>
        </w:rPr>
      </w:pPr>
      <w:r>
        <w:rPr>
          <w:szCs w:val="21"/>
        </w:rPr>
        <w:t>1）病史询问要点：慢性胃炎缺乏特异性症状，通常表现为上腹隐痛、食欲减退、腹胀、反酸等，应注意询问以往检查、诊断及治疗经过。</w:t>
      </w:r>
    </w:p>
    <w:p>
      <w:pPr>
        <w:adjustRightInd w:val="0"/>
        <w:snapToGrid w:val="0"/>
        <w:spacing w:line="500" w:lineRule="exact"/>
        <w:ind w:firstLine="420" w:firstLineChars="200"/>
        <w:rPr>
          <w:szCs w:val="21"/>
        </w:rPr>
      </w:pPr>
      <w:r>
        <w:rPr>
          <w:szCs w:val="21"/>
        </w:rPr>
        <w:t>2）查体要点：一般无特异表现。萎缩性胃炎可有贫血貌、消瘦、舌炎等。</w:t>
      </w:r>
    </w:p>
    <w:p>
      <w:pPr>
        <w:adjustRightInd w:val="0"/>
        <w:snapToGrid w:val="0"/>
        <w:spacing w:line="500" w:lineRule="exact"/>
        <w:ind w:firstLine="420" w:firstLineChars="200"/>
        <w:rPr>
          <w:szCs w:val="21"/>
        </w:rPr>
      </w:pPr>
      <w:r>
        <w:rPr>
          <w:szCs w:val="21"/>
        </w:rPr>
        <w:t>3）辅助检查要点：本病诊断一般需根据病史（包括既往诊治经过及有关证据），必要时可作内镜检查。</w:t>
      </w:r>
    </w:p>
    <w:p>
      <w:pPr>
        <w:adjustRightInd w:val="0"/>
        <w:snapToGrid w:val="0"/>
        <w:spacing w:line="500" w:lineRule="exact"/>
        <w:ind w:firstLine="420" w:firstLineChars="200"/>
        <w:rPr>
          <w:szCs w:val="21"/>
        </w:rPr>
      </w:pPr>
      <w:r>
        <w:rPr>
          <w:szCs w:val="21"/>
        </w:rPr>
        <w:t>慢性胃炎一般症状轻、不常服药也能正常生活和工作，可按合格对待。</w:t>
      </w:r>
    </w:p>
    <w:p>
      <w:pPr>
        <w:adjustRightInd w:val="0"/>
        <w:snapToGrid w:val="0"/>
        <w:spacing w:line="500" w:lineRule="exact"/>
        <w:ind w:firstLine="420" w:firstLineChars="200"/>
        <w:rPr>
          <w:szCs w:val="21"/>
        </w:rPr>
      </w:pPr>
      <w:r>
        <w:rPr>
          <w:szCs w:val="21"/>
        </w:rPr>
        <w:t xml:space="preserve">6.2.4  消化性溃疡 </w:t>
      </w:r>
    </w:p>
    <w:p>
      <w:pPr>
        <w:adjustRightInd w:val="0"/>
        <w:snapToGrid w:val="0"/>
        <w:spacing w:line="500" w:lineRule="exact"/>
        <w:ind w:firstLine="420" w:firstLineChars="200"/>
        <w:rPr>
          <w:szCs w:val="21"/>
        </w:rPr>
      </w:pPr>
      <w:r>
        <w:rPr>
          <w:szCs w:val="21"/>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adjustRightInd w:val="0"/>
        <w:snapToGrid w:val="0"/>
        <w:spacing w:line="500" w:lineRule="exact"/>
        <w:ind w:firstLine="420" w:firstLineChars="200"/>
        <w:rPr>
          <w:szCs w:val="21"/>
        </w:rPr>
      </w:pPr>
      <w:r>
        <w:rPr>
          <w:szCs w:val="21"/>
        </w:rPr>
        <w:t>2）查体要点：除可有上腹部压痛外，一般无特殊体征。</w:t>
      </w:r>
    </w:p>
    <w:p>
      <w:pPr>
        <w:adjustRightInd w:val="0"/>
        <w:snapToGrid w:val="0"/>
        <w:spacing w:line="500" w:lineRule="exact"/>
        <w:ind w:firstLine="420" w:firstLineChars="200"/>
        <w:rPr>
          <w:szCs w:val="21"/>
        </w:rPr>
      </w:pPr>
      <w:r>
        <w:rPr>
          <w:szCs w:val="21"/>
        </w:rPr>
        <w:t>3）辅助检查要点：若有典型病史，基本可作出初步诊断，但应建议做上消化道造影或内镜检查。</w:t>
      </w:r>
    </w:p>
    <w:p>
      <w:pPr>
        <w:adjustRightInd w:val="0"/>
        <w:snapToGrid w:val="0"/>
        <w:spacing w:line="500" w:lineRule="exact"/>
        <w:ind w:firstLine="420" w:firstLineChars="200"/>
        <w:rPr>
          <w:szCs w:val="21"/>
        </w:rPr>
      </w:pPr>
      <w:r>
        <w:rPr>
          <w:szCs w:val="21"/>
        </w:rPr>
        <w:t>无论是十二指肠溃疡还是胃溃疡，经过规范的治疗后，能够治愈，且今后只要注意饮食及生活习惯等，一般不会再复发，故本病一经诊断，作合格结论。</w:t>
      </w:r>
    </w:p>
    <w:p>
      <w:pPr>
        <w:adjustRightInd w:val="0"/>
        <w:snapToGrid w:val="0"/>
        <w:spacing w:line="500" w:lineRule="exact"/>
        <w:ind w:firstLine="420" w:firstLineChars="200"/>
        <w:rPr>
          <w:szCs w:val="21"/>
        </w:rPr>
      </w:pPr>
      <w:r>
        <w:rPr>
          <w:szCs w:val="21"/>
        </w:rPr>
        <w:t>6.2.5  克罗恩病  是一种原因不明、好发于回肠末段和邻近结肠的增殖性炎症性病变，多发生在青壮年，反复发作，难以治愈，预后差。一经诊断，不合格。</w:t>
      </w:r>
    </w:p>
    <w:p>
      <w:pPr>
        <w:adjustRightInd w:val="0"/>
        <w:snapToGrid w:val="0"/>
        <w:spacing w:line="500" w:lineRule="exact"/>
        <w:ind w:firstLine="420" w:firstLineChars="200"/>
        <w:rPr>
          <w:szCs w:val="21"/>
        </w:rPr>
      </w:pPr>
      <w:r>
        <w:rPr>
          <w:szCs w:val="21"/>
        </w:rPr>
        <w:t>1）病史询问要点：起病经过，病程情况，是否逐年进展加重；有无慢性腹泻、右下腹痛；有无发热等伴随症状。</w:t>
      </w:r>
    </w:p>
    <w:p>
      <w:pPr>
        <w:adjustRightInd w:val="0"/>
        <w:snapToGrid w:val="0"/>
        <w:spacing w:line="500" w:lineRule="exact"/>
        <w:ind w:firstLine="420" w:firstLineChars="200"/>
        <w:rPr>
          <w:szCs w:val="21"/>
        </w:rPr>
      </w:pPr>
      <w:r>
        <w:rPr>
          <w:szCs w:val="21"/>
        </w:rPr>
        <w:t>2）查体要点：有无右下腹压痛、腹部包块等体征；注意有无贫血、关节炎、皮疹、虹膜炎等肠外表现。</w:t>
      </w:r>
    </w:p>
    <w:p>
      <w:pPr>
        <w:adjustRightInd w:val="0"/>
        <w:snapToGrid w:val="0"/>
        <w:spacing w:line="500" w:lineRule="exact"/>
        <w:ind w:firstLine="420" w:firstLineChars="200"/>
        <w:rPr>
          <w:szCs w:val="21"/>
        </w:rPr>
      </w:pPr>
      <w:r>
        <w:rPr>
          <w:szCs w:val="21"/>
        </w:rPr>
        <w:t>3）辅助检查要点：本病诊断主要依据典型病史，若体检中发现可疑体征如腹部包块，可作进一步有关检查，如X线造影、内镜检查等。</w:t>
      </w:r>
    </w:p>
    <w:p>
      <w:pPr>
        <w:adjustRightInd w:val="0"/>
        <w:snapToGrid w:val="0"/>
        <w:spacing w:line="500" w:lineRule="exact"/>
        <w:ind w:firstLine="420" w:firstLineChars="200"/>
        <w:rPr>
          <w:szCs w:val="21"/>
        </w:rPr>
      </w:pPr>
      <w:r>
        <w:rPr>
          <w:szCs w:val="21"/>
        </w:rPr>
        <w:t>6.2.6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adjustRightInd w:val="0"/>
        <w:snapToGrid w:val="0"/>
        <w:spacing w:line="500" w:lineRule="exact"/>
        <w:ind w:firstLine="420" w:firstLineChars="200"/>
        <w:rPr>
          <w:szCs w:val="21"/>
        </w:rPr>
      </w:pPr>
      <w:r>
        <w:rPr>
          <w:szCs w:val="21"/>
        </w:rPr>
        <w:t>1）病史询问要点：起病经过，既往发作治疗情况；有无慢性腹泻、阵发性下腹痛及里急后重；是否伴随发热、体重下降等表现。</w:t>
      </w:r>
    </w:p>
    <w:p>
      <w:pPr>
        <w:adjustRightInd w:val="0"/>
        <w:snapToGrid w:val="0"/>
        <w:spacing w:line="500" w:lineRule="exact"/>
        <w:ind w:firstLine="420" w:firstLineChars="200"/>
        <w:rPr>
          <w:szCs w:val="21"/>
        </w:rPr>
      </w:pPr>
      <w:r>
        <w:rPr>
          <w:szCs w:val="21"/>
        </w:rPr>
        <w:t>2）查体要点：本病缓解期可无特殊阳性体征；急性期可有脉速、发热、左下腹或全腹压痛，有时可触及到变硬的肠管，肠鸣亢进，直肠指诊可有触痛、指套染血。注意有无贫血、关节炎、皮疹、虹膜炎等肠外表现。</w:t>
      </w:r>
    </w:p>
    <w:p>
      <w:pPr>
        <w:adjustRightInd w:val="0"/>
        <w:snapToGrid w:val="0"/>
        <w:spacing w:line="500" w:lineRule="exact"/>
        <w:ind w:firstLine="420" w:firstLineChars="200"/>
        <w:rPr>
          <w:szCs w:val="21"/>
        </w:rPr>
      </w:pPr>
      <w:r>
        <w:rPr>
          <w:szCs w:val="21"/>
        </w:rPr>
        <w:t>3）辅助检查要点：本病临床诊断主要依据典型病史，可疑病例可作X线钡灌肠造影或肠镜等有关检查。</w:t>
      </w:r>
    </w:p>
    <w:p>
      <w:pPr>
        <w:adjustRightInd w:val="0"/>
        <w:snapToGrid w:val="0"/>
        <w:spacing w:line="500" w:lineRule="exact"/>
        <w:ind w:firstLine="420" w:firstLineChars="200"/>
        <w:rPr>
          <w:szCs w:val="21"/>
        </w:rPr>
      </w:pPr>
      <w:r>
        <w:rPr>
          <w:szCs w:val="21"/>
        </w:rPr>
        <w:t>6.2.7  其他疾病  有些严重慢性消化系统疾病，如慢性胰腺炎、肠道血管病变等，因其人群患病率低，</w:t>
      </w:r>
      <w:r>
        <w:rPr>
          <w:rFonts w:hint="eastAsia"/>
          <w:szCs w:val="21"/>
        </w:rPr>
        <w:t>特别</w:t>
      </w:r>
      <w:r>
        <w:rPr>
          <w:szCs w:val="21"/>
        </w:rPr>
        <w:t>是在报考公务员的考生群体中更为少见，故在此不逐一详述，如若发现，按体检不合格处理。</w:t>
      </w:r>
    </w:p>
    <w:p>
      <w:pPr>
        <w:adjustRightInd w:val="0"/>
        <w:snapToGrid w:val="0"/>
        <w:spacing w:line="500" w:lineRule="exact"/>
        <w:rPr>
          <w:rFonts w:hint="eastAsia" w:ascii="宋体" w:hAnsi="宋体" w:cs="宋体"/>
          <w:b/>
          <w:bCs/>
          <w:szCs w:val="21"/>
        </w:rPr>
      </w:pPr>
      <w:r>
        <w:rPr>
          <w:rFonts w:hint="eastAsia" w:eastAsia="黑体"/>
          <w:b/>
          <w:bCs/>
          <w:szCs w:val="21"/>
        </w:rPr>
        <w:t xml:space="preserve">   </w:t>
      </w:r>
      <w:r>
        <w:rPr>
          <w:rFonts w:hint="eastAsia" w:ascii="宋体" w:hAnsi="宋体" w:cs="宋体"/>
          <w:b/>
          <w:bCs/>
          <w:szCs w:val="21"/>
        </w:rPr>
        <w:t xml:space="preserve"> 6.3  注意事项</w:t>
      </w:r>
    </w:p>
    <w:p>
      <w:pPr>
        <w:adjustRightInd w:val="0"/>
        <w:snapToGrid w:val="0"/>
        <w:spacing w:line="500" w:lineRule="exact"/>
        <w:ind w:firstLine="420" w:firstLineChars="200"/>
        <w:rPr>
          <w:szCs w:val="21"/>
        </w:rPr>
      </w:pPr>
      <w:r>
        <w:rPr>
          <w:szCs w:val="21"/>
        </w:rPr>
        <w:t>6.3.1 急性胃肠疾病患者，禁止参加体检。急性胃肠疾病治愈已1个月以上、肯定无传染性、体力已恢复、病因已祛除者，可参加体检。</w:t>
      </w:r>
    </w:p>
    <w:p>
      <w:pPr>
        <w:adjustRightInd w:val="0"/>
        <w:snapToGrid w:val="0"/>
        <w:spacing w:line="500" w:lineRule="exact"/>
        <w:ind w:firstLine="420" w:firstLineChars="200"/>
        <w:rPr>
          <w:szCs w:val="21"/>
        </w:rPr>
      </w:pPr>
      <w:r>
        <w:rPr>
          <w:szCs w:val="21"/>
        </w:rPr>
        <w:t>6.3.2 对偶有消化系统症状、病情很轻、不治疗也能够正常生活和工作，在本次体检中未发现异常体征且常规辅助检查结果正常者，作合格结论，不必作内镜等特殊检查。</w:t>
      </w:r>
    </w:p>
    <w:p>
      <w:pPr>
        <w:adjustRightInd w:val="0"/>
        <w:snapToGrid w:val="0"/>
        <w:spacing w:line="500" w:lineRule="exact"/>
        <w:ind w:firstLine="420" w:firstLineChars="200"/>
        <w:rPr>
          <w:szCs w:val="21"/>
        </w:rPr>
      </w:pPr>
      <w:r>
        <w:rPr>
          <w:szCs w:val="21"/>
        </w:rPr>
        <w:t>6.3.3 消化系统疾病，特别是胃肠道疾病，一般是体检的盲区，常规的查体很难确定诊断，医生应以掌握概念为主。</w:t>
      </w:r>
      <w:bookmarkStart w:id="20" w:name="_Toc391888330"/>
    </w:p>
    <w:p>
      <w:pPr>
        <w:pStyle w:val="3"/>
        <w:adjustRightInd w:val="0"/>
        <w:snapToGrid w:val="0"/>
        <w:spacing w:before="0" w:after="0" w:line="500" w:lineRule="exact"/>
        <w:rPr>
          <w:rFonts w:hint="eastAsia" w:ascii="黑体" w:hAnsi="黑体" w:eastAsia="黑体" w:cs="黑体"/>
          <w:sz w:val="21"/>
          <w:szCs w:val="21"/>
        </w:rPr>
      </w:pPr>
      <w:r>
        <w:rPr>
          <w:rFonts w:hint="eastAsia" w:ascii="黑体" w:hAnsi="黑体" w:eastAsia="黑体" w:cs="黑体"/>
          <w:sz w:val="21"/>
          <w:szCs w:val="21"/>
        </w:rPr>
        <w:t>7  关于肝炎和肝硬化</w:t>
      </w:r>
      <w:bookmarkEnd w:id="20"/>
    </w:p>
    <w:p>
      <w:pPr>
        <w:adjustRightInd w:val="0"/>
        <w:snapToGrid w:val="0"/>
        <w:spacing w:line="500" w:lineRule="exact"/>
        <w:ind w:firstLine="413" w:firstLineChars="196"/>
        <w:rPr>
          <w:rFonts w:eastAsia="楷体_GB2312"/>
          <w:b/>
          <w:bCs/>
        </w:rPr>
      </w:pPr>
      <w:r>
        <w:rPr>
          <w:rFonts w:eastAsia="楷体_GB2312"/>
          <w:b/>
          <w:bCs/>
        </w:rPr>
        <w:t>第七条  各种急慢性肝炎及肝硬化，不合格。</w:t>
      </w:r>
    </w:p>
    <w:p>
      <w:pPr>
        <w:adjustRightInd w:val="0"/>
        <w:snapToGrid w:val="0"/>
        <w:spacing w:line="500" w:lineRule="exact"/>
        <w:rPr>
          <w:rFonts w:eastAsia="黑体"/>
          <w:b/>
          <w:bCs/>
        </w:rPr>
      </w:pPr>
      <w:r>
        <w:rPr>
          <w:rFonts w:hint="eastAsia" w:eastAsia="黑体"/>
          <w:b/>
          <w:bCs/>
        </w:rPr>
        <w:t xml:space="preserve">   </w:t>
      </w:r>
      <w:r>
        <w:rPr>
          <w:rFonts w:hint="eastAsia" w:ascii="宋体" w:hAnsi="宋体" w:cs="宋体"/>
          <w:b/>
          <w:bCs/>
        </w:rPr>
        <w:t xml:space="preserve"> 7.1  条文解释</w:t>
      </w:r>
    </w:p>
    <w:p>
      <w:pPr>
        <w:adjustRightInd w:val="0"/>
        <w:snapToGrid w:val="0"/>
        <w:spacing w:line="500" w:lineRule="exact"/>
        <w:ind w:firstLine="420" w:firstLineChars="200"/>
      </w:pPr>
      <w:r>
        <w:t>该条款包含两层含义：即急慢性肝炎和肝硬化，任何一种情况均属不合格。</w:t>
      </w:r>
    </w:p>
    <w:p>
      <w:pPr>
        <w:adjustRightInd w:val="0"/>
        <w:snapToGrid w:val="0"/>
        <w:spacing w:line="500" w:lineRule="exact"/>
        <w:ind w:firstLine="420" w:firstLineChars="200"/>
      </w:pPr>
      <w:r>
        <w:t>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w:t>
      </w:r>
      <w:r>
        <w:rPr>
          <w:color w:val="000000"/>
        </w:rPr>
        <w:t>肝炎</w:t>
      </w:r>
      <w:r>
        <w:t>对人体健康危害很大，特别是病毒性肝炎已被列为法定乙类传染病，后期有可能发展成为肝硬化，因此，各种类型的</w:t>
      </w:r>
      <w:r>
        <w:rPr>
          <w:color w:val="000000"/>
        </w:rPr>
        <w:t>现症肝炎患者，无论是急性或慢性，一经诊断，均作不合格结论</w:t>
      </w:r>
      <w:r>
        <w:t>。</w:t>
      </w:r>
    </w:p>
    <w:p>
      <w:pPr>
        <w:adjustRightInd w:val="0"/>
        <w:snapToGrid w:val="0"/>
        <w:spacing w:line="500" w:lineRule="exact"/>
        <w:ind w:firstLine="411" w:firstLineChars="196"/>
      </w:pPr>
      <w:r>
        <w:t>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pPr>
        <w:adjustRightInd w:val="0"/>
        <w:snapToGrid w:val="0"/>
        <w:spacing w:line="500" w:lineRule="exact"/>
        <w:ind w:firstLine="411" w:firstLineChars="196"/>
      </w:pPr>
      <w:r>
        <w:t>7.1.2  其他肝炎  主要包括酒精性肝炎、药物性肝炎、自身免疫性肝炎、缺血性肝炎、遗传代谢性肝病、不明原因的慢性肝炎等，简述如下：</w:t>
      </w:r>
    </w:p>
    <w:p>
      <w:pPr>
        <w:adjustRightInd w:val="0"/>
        <w:snapToGrid w:val="0"/>
        <w:spacing w:line="500" w:lineRule="exact"/>
        <w:ind w:firstLine="420" w:firstLineChars="200"/>
      </w:pPr>
      <w: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adjustRightInd w:val="0"/>
        <w:snapToGrid w:val="0"/>
        <w:spacing w:line="500" w:lineRule="exact"/>
        <w:ind w:firstLine="420" w:firstLineChars="200"/>
      </w:pPr>
      <w:r>
        <w:t>2）药物性肝炎：肝脏是药物代谢的重要器官，大多数药物在肝内通过生物转化而清除，但临床上某些药物会损害肝脏，引起急性或慢性药物性肝炎。药物导致的肝损害，肝细胞受损最常见，可分为两大类，一类是剂量依赖性，即药物高于常规治疗剂量时才会导致肝损伤，如对乙酰氨基酚；另一类与用药剂量无关，表现为过敏性或非过敏性肝损害，过敏性肝损害为个体对药物发生了过敏反应，除表现为肝脏受损外，常伴有其他的过敏性表现，如发热、急性荨麻疹、血液中嗜酸粒细胞增多等。非过敏性肝损害发病机制多与免疫介导有关，临床无过敏表现，肝损害同时可伴有或不伴有自身抗体的阳性，多数患者可治愈，极少数患者病情可转为慢性甚至肝硬化。</w:t>
      </w:r>
    </w:p>
    <w:p>
      <w:pPr>
        <w:adjustRightInd w:val="0"/>
        <w:snapToGrid w:val="0"/>
        <w:spacing w:line="500" w:lineRule="exact"/>
        <w:ind w:firstLine="420" w:firstLineChars="200"/>
      </w:pPr>
      <w:r>
        <w:t>3）自身免疫性肝炎：属于</w:t>
      </w:r>
      <w:r>
        <w:rPr>
          <w:color w:val="000000"/>
          <w:kern w:val="0"/>
          <w:szCs w:val="21"/>
        </w:rPr>
        <w:t>自身免疫性肝病的一种。后者除包括自身免疫性肝炎，还包括原发性胆汁性肝硬化、原发性硬化性胆管炎、自身免疫性胆管炎、IG4相关的胰胆管炎等。</w:t>
      </w:r>
      <w:r>
        <w:t>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实验室检查自身抗体阳性，免疫球蛋白升高。</w:t>
      </w:r>
    </w:p>
    <w:p>
      <w:pPr>
        <w:adjustRightInd w:val="0"/>
        <w:snapToGrid w:val="0"/>
        <w:spacing w:line="500" w:lineRule="exact"/>
        <w:ind w:firstLine="420" w:firstLineChars="200"/>
      </w:pPr>
      <w: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adjustRightInd w:val="0"/>
        <w:snapToGrid w:val="0"/>
        <w:spacing w:line="500" w:lineRule="exact"/>
        <w:ind w:firstLine="420" w:firstLineChars="200"/>
      </w:pPr>
      <w: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adjustRightInd w:val="0"/>
        <w:snapToGrid w:val="0"/>
        <w:spacing w:line="500" w:lineRule="exact"/>
        <w:ind w:firstLine="420" w:firstLineChars="200"/>
      </w:pPr>
      <w:r>
        <w:t>6）不明原因的慢性肝炎：不是一种特定类型的肝炎，仅指目前病因、病史不明的一些肝炎的统称。随着医学科学技术的发展，这些疾病将会找出特定的病因而逐渐减少。据估计，这类肝炎中约四分之一为病毒所致。</w:t>
      </w:r>
    </w:p>
    <w:p>
      <w:pPr>
        <w:adjustRightInd w:val="0"/>
        <w:snapToGrid w:val="0"/>
        <w:spacing w:line="500" w:lineRule="exact"/>
        <w:ind w:firstLine="420" w:firstLineChars="200"/>
      </w:pPr>
      <w:r>
        <w:t>7.1.4  肝硬化</w:t>
      </w:r>
    </w:p>
    <w:p>
      <w:pPr>
        <w:adjustRightInd w:val="0"/>
        <w:snapToGrid w:val="0"/>
        <w:spacing w:line="500" w:lineRule="exact"/>
        <w:ind w:firstLine="420" w:firstLineChars="200"/>
      </w:pPr>
      <w:r>
        <w:t>肝硬化是由一种或多种致病因素长期或反复作用于肝脏引起的慢性、进行性、弥漫性肝病的终末阶段，其病变特点是在肝细胞广泛变性、坏死基础上产生肝组织弥漫性纤维化，</w:t>
      </w:r>
      <w:r>
        <w:rPr>
          <w:kern w:val="0"/>
          <w:szCs w:val="21"/>
        </w:rPr>
        <w:t>假小叶和再生结节形成，</w:t>
      </w:r>
      <w:r>
        <w:t>导致肝脏的正常结构破坏，肝脏逐渐变形、变硬而形成肝硬化。按再生结节大小、形态分为小结节性、大结节性及大小结节混合性肝硬化，而以小结节性者最为多见。</w:t>
      </w:r>
    </w:p>
    <w:p>
      <w:pPr>
        <w:adjustRightInd w:val="0"/>
        <w:snapToGrid w:val="0"/>
        <w:spacing w:line="500" w:lineRule="exact"/>
        <w:ind w:firstLine="420" w:firstLineChars="200"/>
        <w:jc w:val="left"/>
      </w:pPr>
      <w:r>
        <w:rPr>
          <w:kern w:val="0"/>
          <w:szCs w:val="21"/>
        </w:rPr>
        <w:t>引起肝硬化的原因很多。</w:t>
      </w:r>
      <w:r>
        <w:t>在我国，病毒性肝炎是引起肝硬化的主要原因，其中主要是乙型肝炎，酒精所致肝硬化在我国虽然相对少见，但目前也有上升趋势。其次，非酒精性脂肪性肝炎、长期胆汁淤积、药物或毒物、免疫紊乱如自身免疫性肝炎、循环障碍、代谢和遗传性疾病、血吸虫病、营养不良等也是导致肝硬化的重要因素，还有少部分肝硬化原因不明，称为隐源性肝硬化。</w:t>
      </w:r>
    </w:p>
    <w:p>
      <w:pPr>
        <w:adjustRightInd w:val="0"/>
        <w:snapToGrid w:val="0"/>
        <w:spacing w:line="500" w:lineRule="exact"/>
        <w:ind w:firstLine="420" w:firstLineChars="200"/>
        <w:rPr>
          <w:color w:val="FF0000"/>
        </w:rPr>
      </w:pPr>
      <w:r>
        <w:t>肝硬化在临床上分为代偿期和失代偿期。一般体检中遇到的病例多属代偿期，症状、体征多不明显，肝功能检查可正常或仅有轻度异常，应主要依据腹部B超检查进行临床诊断；失代偿期多有明显的临床表现及肝功能异常，容易诊断。</w:t>
      </w:r>
      <w:r>
        <w:rPr>
          <w:kern w:val="0"/>
          <w:szCs w:val="21"/>
        </w:rPr>
        <w:t>因</w:t>
      </w:r>
      <w:r>
        <w:t>肝硬化临床表现为多系统受累，以肝功能损害和门静脉高压为主要特征，晚期常出现上消化道出血、肝性脑病、继发感染、肝肾综合征等严重并发症，预后差，病死率高，因此各种原因引起的肝硬化，均属不合格。</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7.2  诊断要点</w:t>
      </w:r>
    </w:p>
    <w:p>
      <w:pPr>
        <w:adjustRightInd w:val="0"/>
        <w:snapToGrid w:val="0"/>
        <w:spacing w:line="500" w:lineRule="exact"/>
        <w:ind w:firstLine="411" w:firstLineChars="196"/>
      </w:pPr>
      <w:r>
        <w:rPr>
          <w:kern w:val="0"/>
          <w:szCs w:val="21"/>
        </w:rPr>
        <w:t xml:space="preserve">7.2.1  </w:t>
      </w:r>
      <w:r>
        <w:t>急慢性肝炎肝脏检查</w:t>
      </w:r>
    </w:p>
    <w:p>
      <w:pPr>
        <w:adjustRightInd w:val="0"/>
        <w:snapToGrid w:val="0"/>
        <w:spacing w:line="500" w:lineRule="exact"/>
        <w:ind w:firstLine="420" w:firstLineChars="200"/>
      </w:pPr>
      <w:r>
        <w:t>1）常规检测ALT及AST，这两种酶在肝炎潜伏期、发病初期均可升高，有助于早期诊断。</w:t>
      </w:r>
    </w:p>
    <w:p>
      <w:pPr>
        <w:adjustRightInd w:val="0"/>
        <w:snapToGrid w:val="0"/>
        <w:spacing w:line="500" w:lineRule="exact"/>
        <w:ind w:firstLine="420" w:firstLineChars="200"/>
      </w:pPr>
      <w:r>
        <w:t>2）腹部B超：病毒性肝炎的B超声像图往往呈肝脏弥漫性病变表现，但药物性肝炎、酒精性肝炎、脂肪肝、肝硬化、各种代谢性疾病所致的肝病等也可呈弥漫性改变，在声像图上很难鉴别，因此，必须结合临床和其他检查结果进行综合分析。</w:t>
      </w:r>
    </w:p>
    <w:p>
      <w:pPr>
        <w:autoSpaceDE w:val="0"/>
        <w:autoSpaceDN w:val="0"/>
        <w:adjustRightInd w:val="0"/>
        <w:snapToGrid w:val="0"/>
        <w:spacing w:line="500" w:lineRule="exact"/>
        <w:ind w:firstLine="420" w:firstLineChars="200"/>
      </w:pPr>
      <w:r>
        <w:t>肝脏弥漫性病变声像图表现：急性期特点为肝脏肿大，肝左右叶边缘角变钝，肝实质回声偏低，光点稀疏，部分患者可出现胆系改变，出现胆囊壁增厚，粘膜水肿呈低回声。迁延性者呈肝脏正常或轻度增大</w:t>
      </w:r>
      <w:r>
        <w:rPr>
          <w:rFonts w:hint="eastAsia"/>
        </w:rPr>
        <w:t>，</w:t>
      </w:r>
      <w:r>
        <w:t>偶可以左叶增大为主，肝回声增粗增强，不均，光点粗大，可伴脾脏增大或/和门静脉内径增宽。</w:t>
      </w:r>
    </w:p>
    <w:p>
      <w:pPr>
        <w:adjustRightInd w:val="0"/>
        <w:snapToGrid w:val="0"/>
        <w:spacing w:line="500" w:lineRule="exact"/>
        <w:ind w:firstLine="420" w:firstLineChars="200"/>
      </w:pPr>
      <w:r>
        <w:rPr>
          <w:kern w:val="0"/>
          <w:szCs w:val="21"/>
        </w:rPr>
        <w:t xml:space="preserve">7.2.2  </w:t>
      </w:r>
      <w:r>
        <w:t>急慢性肝炎判定标准</w:t>
      </w:r>
    </w:p>
    <w:p>
      <w:pPr>
        <w:adjustRightInd w:val="0"/>
        <w:snapToGrid w:val="0"/>
        <w:spacing w:line="500" w:lineRule="exact"/>
        <w:ind w:firstLine="420" w:firstLineChars="200"/>
        <w:rPr>
          <w:color w:val="FF0000"/>
        </w:rPr>
      </w:pPr>
      <w:r>
        <w:t>1）</w:t>
      </w:r>
      <w:r>
        <w:rPr>
          <w:kern w:val="0"/>
          <w:szCs w:val="21"/>
        </w:rPr>
        <w:t>血清ALT或AST超过</w:t>
      </w:r>
      <w:r>
        <w:t>参考值</w:t>
      </w:r>
      <w:r>
        <w:rPr>
          <w:kern w:val="0"/>
          <w:szCs w:val="21"/>
        </w:rPr>
        <w:t>上限2倍（如正常值上限为X，超过正常值上限2倍是指超过2X），不合格。</w:t>
      </w:r>
    </w:p>
    <w:p>
      <w:pPr>
        <w:adjustRightInd w:val="0"/>
        <w:snapToGrid w:val="0"/>
        <w:spacing w:line="500" w:lineRule="exact"/>
        <w:ind w:firstLine="420" w:firstLineChars="200"/>
      </w:pPr>
      <w:r>
        <w:t>2）</w:t>
      </w:r>
      <w:r>
        <w:rPr>
          <w:kern w:val="0"/>
          <w:szCs w:val="21"/>
        </w:rPr>
        <w:t>血清ALT或AST不超过参考值上限2倍，但B超声像图呈肝脏弥漫性病变表现（脂肪肝除外），不合格。</w:t>
      </w:r>
    </w:p>
    <w:p>
      <w:pPr>
        <w:adjustRightInd w:val="0"/>
        <w:snapToGrid w:val="0"/>
        <w:spacing w:line="500" w:lineRule="exact"/>
        <w:ind w:firstLine="420" w:firstLineChars="200"/>
      </w:pPr>
      <w:r>
        <w:t>作为一种选拔性体检，受检者的流行病学资料、临床症状及病因学资料往往不可靠，体征一般也不明显，故体检中应主要依据肝脏生化、腹部B超检查诊断或排除肝炎。</w:t>
      </w:r>
    </w:p>
    <w:p>
      <w:pPr>
        <w:adjustRightInd w:val="0"/>
        <w:snapToGrid w:val="0"/>
        <w:spacing w:line="500" w:lineRule="exact"/>
        <w:ind w:firstLine="420" w:firstLineChars="200"/>
      </w:pPr>
      <w:r>
        <w:t>7.2.3  肝硬化判定标准</w:t>
      </w:r>
    </w:p>
    <w:p>
      <w:pPr>
        <w:adjustRightInd w:val="0"/>
        <w:snapToGrid w:val="0"/>
        <w:spacing w:line="500" w:lineRule="exact"/>
        <w:ind w:firstLine="420" w:firstLineChars="200"/>
        <w:jc w:val="left"/>
      </w:pPr>
      <w:r>
        <w:t>⑴病史询问要点：有无慢性肝炎史或肝炎病毒携带史，有无长期大量饮酒史，有无血吸虫病等疾病史。</w:t>
      </w:r>
    </w:p>
    <w:p>
      <w:pPr>
        <w:adjustRightInd w:val="0"/>
        <w:snapToGrid w:val="0"/>
        <w:spacing w:line="500" w:lineRule="exact"/>
        <w:ind w:firstLine="420" w:firstLineChars="200"/>
        <w:jc w:val="left"/>
      </w:pPr>
      <w:r>
        <w:t>⑵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adjustRightInd w:val="0"/>
        <w:snapToGrid w:val="0"/>
        <w:spacing w:line="500" w:lineRule="exact"/>
        <w:ind w:firstLine="420" w:firstLineChars="200"/>
        <w:jc w:val="left"/>
        <w:rPr>
          <w:kern w:val="0"/>
          <w:szCs w:val="21"/>
        </w:rPr>
      </w:pPr>
      <w:r>
        <w:rPr>
          <w:kern w:val="0"/>
          <w:szCs w:val="21"/>
        </w:rPr>
        <w:t>⑶辅助检查要点：</w:t>
      </w:r>
    </w:p>
    <w:p>
      <w:pPr>
        <w:adjustRightInd w:val="0"/>
        <w:snapToGrid w:val="0"/>
        <w:spacing w:line="500" w:lineRule="exact"/>
        <w:ind w:firstLine="420" w:firstLineChars="200"/>
        <w:jc w:val="left"/>
      </w:pPr>
      <w:r>
        <w:t>血常规：可有贫血，白细胞数减少及血小板数减少（脾功能亢进表现）。</w:t>
      </w:r>
    </w:p>
    <w:p>
      <w:pPr>
        <w:adjustRightInd w:val="0"/>
        <w:snapToGrid w:val="0"/>
        <w:spacing w:line="500" w:lineRule="exact"/>
        <w:ind w:firstLine="420" w:firstLineChars="200"/>
        <w:jc w:val="left"/>
      </w:pPr>
      <w:r>
        <w:t>肝脏生化：代偿期血清ALT、AST可正常或仅有轻度异常。</w:t>
      </w:r>
    </w:p>
    <w:p>
      <w:pPr>
        <w:adjustRightInd w:val="0"/>
        <w:snapToGrid w:val="0"/>
        <w:spacing w:line="500" w:lineRule="exact"/>
        <w:ind w:firstLine="420" w:firstLineChars="200"/>
        <w:jc w:val="left"/>
        <w:rPr>
          <w:kern w:val="0"/>
          <w:szCs w:val="21"/>
        </w:rPr>
      </w:pPr>
      <w:r>
        <w:rPr>
          <w:kern w:val="0"/>
          <w:szCs w:val="21"/>
        </w:rPr>
        <w:t>B超：通过超声对肝脾的测量，可以了解肝硬化时肝脏的形态、大小、实质结构的改变，确定有无脾脏肿大、门静脉压增高和腹水。</w:t>
      </w:r>
    </w:p>
    <w:p>
      <w:pPr>
        <w:adjustRightInd w:val="0"/>
        <w:snapToGrid w:val="0"/>
        <w:spacing w:line="500" w:lineRule="exact"/>
        <w:ind w:firstLine="420" w:firstLineChars="200"/>
      </w:pPr>
      <w:r>
        <w:t>肝硬化B超诊断标准如下：</w:t>
      </w:r>
    </w:p>
    <w:p>
      <w:pPr>
        <w:adjustRightInd w:val="0"/>
        <w:snapToGrid w:val="0"/>
        <w:spacing w:line="500" w:lineRule="exact"/>
        <w:ind w:firstLine="420" w:firstLineChars="200"/>
      </w:pPr>
      <w:r>
        <w:t>①肝脏形态学变化：规律为肝脏肿大→肝脏萎缩。肝肿大时肝形态较饱满、边缘钝，尤以尾叶肿大、回声减低的表现为突出；肝萎缩首先发生于肝右叶和左内叶，逐渐发展为全肝萎缩，肝萎缩时肝体积缩小，位置上移，边缘过锐，肝表面（膈面）不光滑，凹凸不平或呈锯齿状，可有小结节样变化。</w:t>
      </w:r>
    </w:p>
    <w:p>
      <w:pPr>
        <w:adjustRightInd w:val="0"/>
        <w:snapToGrid w:val="0"/>
        <w:spacing w:line="500" w:lineRule="exact"/>
        <w:ind w:firstLine="420" w:firstLineChars="200"/>
      </w:pPr>
      <w:r>
        <w:t>②肝实质回声变化：回声增粗、不均匀，甚至可见到数毫米大小的散发结节，结节以等回声或较低回声常见。</w:t>
      </w:r>
    </w:p>
    <w:p>
      <w:pPr>
        <w:adjustRightInd w:val="0"/>
        <w:snapToGrid w:val="0"/>
        <w:spacing w:line="500" w:lineRule="exact"/>
        <w:ind w:firstLine="420" w:firstLineChars="200"/>
      </w:pPr>
      <w:r>
        <w:t>③脾脏肿大：注意脾脏肿大程度。脾肿大判定标准详见第1篇第4.4节。</w:t>
      </w:r>
    </w:p>
    <w:p>
      <w:pPr>
        <w:adjustRightInd w:val="0"/>
        <w:snapToGrid w:val="0"/>
        <w:spacing w:line="500" w:lineRule="exact"/>
        <w:ind w:firstLine="420" w:firstLineChars="200"/>
      </w:pPr>
      <w:r>
        <w:t>④门静脉、脾静脉内径增宽：门静脉内径＞1.4</w:t>
      </w:r>
      <w:r>
        <w:rPr>
          <w:rFonts w:hint="eastAsia"/>
        </w:rPr>
        <w:t>厘米</w:t>
      </w:r>
      <w:r>
        <w:t xml:space="preserve">，脾静脉内径＞0.9 </w:t>
      </w:r>
      <w:r>
        <w:rPr>
          <w:rFonts w:hint="eastAsia"/>
        </w:rPr>
        <w:t>厘米</w:t>
      </w:r>
      <w:r>
        <w:t>，走行迂曲。门静脉内血流颜色变暗或呈蓝色，脉冲多普勒显示流速降低。</w:t>
      </w:r>
    </w:p>
    <w:p>
      <w:pPr>
        <w:adjustRightInd w:val="0"/>
        <w:snapToGrid w:val="0"/>
        <w:spacing w:line="500" w:lineRule="exact"/>
        <w:ind w:firstLine="420" w:firstLineChars="200"/>
        <w:rPr>
          <w:b/>
        </w:rPr>
      </w:pPr>
      <w:r>
        <w:t>⑤可出现腹水。</w:t>
      </w:r>
    </w:p>
    <w:p>
      <w:pPr>
        <w:adjustRightInd w:val="0"/>
        <w:snapToGrid w:val="0"/>
        <w:spacing w:line="500" w:lineRule="exact"/>
        <w:ind w:firstLine="420" w:firstLineChars="200"/>
        <w:jc w:val="left"/>
      </w:pPr>
      <w:r>
        <w:t>一般来说，肝脏缩小同时伴有结节性病变、脾脏肿大、门静脉增宽是B超诊断肝硬化的必要条件。</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7.3  注意事项</w:t>
      </w:r>
    </w:p>
    <w:p>
      <w:pPr>
        <w:adjustRightInd w:val="0"/>
        <w:snapToGrid w:val="0"/>
        <w:spacing w:line="500" w:lineRule="exact"/>
        <w:ind w:firstLine="420" w:firstLineChars="200"/>
        <w:rPr>
          <w:rFonts w:hint="eastAsia" w:ascii="楷体" w:hAnsi="楷体" w:eastAsia="楷体" w:cs="楷体"/>
          <w:b/>
          <w:color w:val="FF0000"/>
        </w:rPr>
      </w:pPr>
      <w:r>
        <w:t>7.3.1  所有关于肝炎的常规检测项目中，一律不许进行乙肝项目检测（丙肝项目除外）。</w:t>
      </w:r>
    </w:p>
    <w:p>
      <w:pPr>
        <w:adjustRightInd w:val="0"/>
        <w:snapToGrid w:val="0"/>
        <w:spacing w:line="500" w:lineRule="exact"/>
        <w:ind w:firstLine="420" w:firstLineChars="200"/>
      </w:pPr>
      <w:r>
        <w:t>7.3.2  公务员体检中的肝脏生化检查是指ALT及AST这两项，若检测数值（特别是ALT）较参考值上限轻度升高</w:t>
      </w:r>
      <w:r>
        <w:rPr>
          <w:kern w:val="0"/>
          <w:szCs w:val="21"/>
        </w:rPr>
        <w:t>（即不超过</w:t>
      </w:r>
      <w:r>
        <w:t>参考值</w:t>
      </w:r>
      <w:r>
        <w:rPr>
          <w:kern w:val="0"/>
          <w:szCs w:val="21"/>
        </w:rPr>
        <w:t>上限2倍）</w:t>
      </w:r>
      <w:r>
        <w:t>，而其他检测结果均正常，一般可直接作出体检合格的结论。</w:t>
      </w:r>
    </w:p>
    <w:p>
      <w:pPr>
        <w:adjustRightInd w:val="0"/>
        <w:snapToGrid w:val="0"/>
        <w:spacing w:line="500" w:lineRule="exact"/>
        <w:ind w:firstLine="420" w:firstLineChars="200"/>
      </w:pPr>
      <w:r>
        <w:t>7.3.3  肝炎的诊断包括临床诊断、病原学诊断及病理诊断。作为体检，只需根据判定标准作出是否合格的结论即可，有创性的肝脏穿刺病理学诊断方法一般不宜作为辅助检查项目。</w:t>
      </w:r>
    </w:p>
    <w:p>
      <w:pPr>
        <w:adjustRightInd w:val="0"/>
        <w:snapToGrid w:val="0"/>
        <w:spacing w:line="500" w:lineRule="exact"/>
        <w:ind w:firstLine="420" w:firstLineChars="200"/>
      </w:pPr>
      <w:r>
        <w:t>7.3.4  关于肝硬化的临床诊断  肝硬化是慢性肝炎发展的最终阶段，某些处于肝硬化代偿期的患者可能不具有任何症状及体征，某些稳定期的患者血清ALT、AST水平也可在正常范围以内，故体检中肝硬化的临床诊断应主要以B超检查为依据。</w:t>
      </w:r>
    </w:p>
    <w:p>
      <w:pPr>
        <w:pStyle w:val="3"/>
        <w:adjustRightInd w:val="0"/>
        <w:snapToGrid w:val="0"/>
        <w:spacing w:before="0" w:after="0" w:line="500" w:lineRule="exact"/>
        <w:rPr>
          <w:rFonts w:ascii="Times New Roman" w:hAnsi="Times New Roman"/>
          <w:sz w:val="21"/>
          <w:szCs w:val="21"/>
        </w:rPr>
      </w:pPr>
      <w:bookmarkStart w:id="21" w:name="_Toc391888331"/>
    </w:p>
    <w:p>
      <w:pPr>
        <w:pStyle w:val="3"/>
        <w:adjustRightInd w:val="0"/>
        <w:snapToGrid w:val="0"/>
        <w:spacing w:before="0" w:after="0" w:line="500" w:lineRule="exact"/>
        <w:rPr>
          <w:rFonts w:hint="eastAsia" w:ascii="黑体" w:hAnsi="黑体" w:eastAsia="黑体" w:cs="黑体"/>
          <w:sz w:val="21"/>
          <w:szCs w:val="21"/>
        </w:rPr>
      </w:pPr>
      <w:r>
        <w:rPr>
          <w:rFonts w:hint="eastAsia" w:ascii="黑体" w:hAnsi="黑体" w:eastAsia="黑体" w:cs="黑体"/>
          <w:sz w:val="21"/>
          <w:szCs w:val="21"/>
        </w:rPr>
        <w:t>8  关于恶性肿瘤</w:t>
      </w:r>
      <w:bookmarkEnd w:id="21"/>
    </w:p>
    <w:p>
      <w:pPr>
        <w:adjustRightInd w:val="0"/>
        <w:snapToGrid w:val="0"/>
        <w:spacing w:line="500" w:lineRule="exact"/>
        <w:ind w:firstLine="413" w:firstLineChars="196"/>
        <w:rPr>
          <w:rFonts w:eastAsia="楷体_GB2312"/>
          <w:b/>
          <w:bCs/>
        </w:rPr>
      </w:pPr>
      <w:r>
        <w:rPr>
          <w:rFonts w:eastAsia="楷体_GB2312"/>
          <w:b/>
          <w:bCs/>
        </w:rPr>
        <w:t>第八条  恶性肿瘤，不合格。</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8.1  条文解释</w:t>
      </w:r>
    </w:p>
    <w:p>
      <w:pPr>
        <w:adjustRightInd w:val="0"/>
        <w:snapToGrid w:val="0"/>
        <w:spacing w:line="500" w:lineRule="exact"/>
        <w:ind w:firstLine="420" w:firstLineChars="200"/>
      </w:pPr>
      <w:r>
        <w:t>恶性肿瘤  本条款主要是针对恶性肿瘤现症患者而制定。所有的恶性肿瘤现症患者，均不合格。</w:t>
      </w:r>
    </w:p>
    <w:p>
      <w:pPr>
        <w:adjustRightInd w:val="0"/>
        <w:snapToGrid w:val="0"/>
        <w:spacing w:line="500" w:lineRule="exact"/>
        <w:ind w:firstLine="420" w:firstLineChars="200"/>
      </w:pPr>
      <w:r>
        <w:t>根据肿瘤的生物学行为，将其分为良性、恶性和交界性肿瘤，在我国无论是发病率还是死亡率都呈上升趋势。恶性肿瘤可分全身性和局限性两种，前者是指血液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adjustRightInd w:val="0"/>
        <w:snapToGrid w:val="0"/>
        <w:spacing w:line="500" w:lineRule="exact"/>
        <w:ind w:firstLine="420" w:firstLineChars="200"/>
        <w:rPr>
          <w:b/>
          <w:color w:val="FF0000"/>
        </w:rPr>
      </w:pPr>
      <w:r>
        <w:t>对于曾有恶性肿瘤病史者是否属体检合格需视情况而定。一般说来，虽然某些恶性肿瘤（特别是早期患者）经手术等方法治疗后可多年不再复发或转移，达到临床治愈，但由于在多长时间内无复发或转移才算彻底治愈尚缺乏统一的标准，需根据癌瘤的生物学特性而定，许多恶性肿瘤“治愈”多年后仍复发，且公务员录用体检的对象均为青年人，恶性肿瘤即使已“治愈”，在今后漫长的职业生涯中也不能排除复发的可能，而一旦复发则均属晚期病例，故对有恶性肿瘤病史者原则上应从严掌握，一般作不合格结论。但极少数恶性肿瘤其生物学特性较好，恶性程度低，如甲状腺乳头状癌、早期宫颈癌，手术后绝大多数患者可以长期存活。对这类肿瘤可以个案研究处理，只要经治疗目前情况确实良好，能提供原治疗医院出具的相关证明（提供病情摘要，说明癌瘤类型、诊治经过及目前情况）者，在确保相关资料可靠真实的基础上</w:t>
      </w:r>
      <w:r>
        <w:rPr>
          <w:rFonts w:hint="eastAsia" w:ascii="楷体" w:hAnsi="楷体" w:eastAsia="楷体" w:cs="楷体"/>
        </w:rPr>
        <w:t>，</w:t>
      </w:r>
      <w:r>
        <w:t>可按合格对待。</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8.2  诊断要点</w:t>
      </w:r>
    </w:p>
    <w:p>
      <w:pPr>
        <w:adjustRightInd w:val="0"/>
        <w:snapToGrid w:val="0"/>
        <w:spacing w:line="500" w:lineRule="exact"/>
        <w:ind w:firstLine="420" w:firstLineChars="200"/>
      </w:pPr>
      <w:r>
        <w:t>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w:t>
      </w:r>
      <w:r>
        <w:rPr>
          <w:rFonts w:hint="eastAsia"/>
        </w:rPr>
        <w:t>米</w:t>
      </w:r>
      <w:r>
        <w:t>RI等）、内镜及活组织病理学检查等。</w:t>
      </w:r>
    </w:p>
    <w:p>
      <w:pPr>
        <w:adjustRightInd w:val="0"/>
        <w:snapToGrid w:val="0"/>
        <w:spacing w:line="500" w:lineRule="exact"/>
        <w:ind w:firstLine="420" w:firstLineChars="200"/>
      </w:pPr>
      <w:r>
        <w:t>临床上恶性肿瘤种类繁多，体检中常遇到的恶性肿瘤主要有以下几种：</w:t>
      </w:r>
    </w:p>
    <w:p>
      <w:pPr>
        <w:adjustRightInd w:val="0"/>
        <w:snapToGrid w:val="0"/>
        <w:spacing w:line="500" w:lineRule="exact"/>
        <w:ind w:firstLine="420" w:firstLineChars="200"/>
      </w:pPr>
      <w:r>
        <w:t>8.2. 1  肺癌  在我国，肺癌发病率和死亡率均占男性恶性肿瘤的首位，吸烟、环境空气的污染是肺癌发病的重要危险因素。</w:t>
      </w:r>
    </w:p>
    <w:p>
      <w:pPr>
        <w:adjustRightInd w:val="0"/>
        <w:snapToGrid w:val="0"/>
        <w:spacing w:line="500" w:lineRule="exact"/>
        <w:ind w:firstLine="420" w:firstLineChars="200"/>
      </w:pPr>
      <w:r>
        <w:t>1）病史询问要点：有无吸烟史，有无阵发性刺激性咳嗽、胸痛、痰中带血、发热等早期症状。约10%～20%的肺癌病例可以没有任何临床表现，而在进行胸部X线检查时方被发现。</w:t>
      </w:r>
    </w:p>
    <w:p>
      <w:pPr>
        <w:adjustRightInd w:val="0"/>
        <w:snapToGrid w:val="0"/>
        <w:spacing w:line="500" w:lineRule="exact"/>
        <w:ind w:firstLine="420" w:firstLineChars="200"/>
      </w:pPr>
      <w:r>
        <w:t>2）查体要点：肺癌在早期一般没有特殊的体征。</w:t>
      </w:r>
    </w:p>
    <w:p>
      <w:pPr>
        <w:adjustRightInd w:val="0"/>
        <w:snapToGrid w:val="0"/>
        <w:spacing w:line="500" w:lineRule="exact"/>
        <w:ind w:firstLine="420" w:firstLineChars="200"/>
      </w:pPr>
      <w: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adjustRightInd w:val="0"/>
        <w:snapToGrid w:val="0"/>
        <w:spacing w:line="500" w:lineRule="exact"/>
        <w:ind w:firstLine="420" w:firstLineChars="200"/>
      </w:pPr>
      <w:r>
        <w:t>8.2. 2  肝癌  我国是原发性肝癌（简称肝癌）高发区，其发病率居男性恶性肿瘤的第3位，在我国，肝癌患者中约90%有HBV感染背景。</w:t>
      </w:r>
    </w:p>
    <w:p>
      <w:pPr>
        <w:adjustRightInd w:val="0"/>
        <w:snapToGrid w:val="0"/>
        <w:spacing w:line="500" w:lineRule="exact"/>
        <w:ind w:firstLine="420" w:firstLineChars="200"/>
      </w:pPr>
      <w:r>
        <w:t>1）病史询问要点：既往有无乙型肝炎病史或乙型肝炎病原携带史；有无肝区疼痛、纳差、消瘦、腹胀等非特异性症状。</w:t>
      </w:r>
    </w:p>
    <w:p>
      <w:pPr>
        <w:adjustRightInd w:val="0"/>
        <w:snapToGrid w:val="0"/>
        <w:spacing w:line="500" w:lineRule="exact"/>
        <w:ind w:firstLine="420" w:firstLineChars="200"/>
      </w:pPr>
      <w:r>
        <w:t>2）查体要点：早期无特殊体征；如果肝脏肿大并伴有结节，应考虑肝癌，并注意有无黄疸、脾大、腹水等晚期肝癌的常见体征。</w:t>
      </w:r>
    </w:p>
    <w:p>
      <w:pPr>
        <w:adjustRightInd w:val="0"/>
        <w:snapToGrid w:val="0"/>
        <w:spacing w:line="500" w:lineRule="exact"/>
        <w:ind w:firstLine="420" w:firstLineChars="200"/>
      </w:pPr>
      <w: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adjustRightInd w:val="0"/>
        <w:snapToGrid w:val="0"/>
        <w:spacing w:line="500" w:lineRule="exact"/>
        <w:ind w:firstLine="420" w:firstLineChars="200"/>
      </w:pPr>
      <w:r>
        <w:t xml:space="preserve">体检中更可能遇见的是原发性小肝癌（直径小于3 </w:t>
      </w:r>
      <w:r>
        <w:rPr>
          <w:rFonts w:hint="eastAsia"/>
        </w:rPr>
        <w:t>厘米</w:t>
      </w:r>
      <w:r>
        <w:t>），其声像图特征为肝内低回声或高回声结节（低回声灶&gt;80%），常为单发，部分呈分叶状、镶嵌状，边界清楚，回声不均，周边可见低回声晕。彩色多普勒血流显像（CDFI）显示结节内及周边血供较丰富，常伴高速动脉频谱。</w:t>
      </w:r>
    </w:p>
    <w:p>
      <w:pPr>
        <w:adjustRightInd w:val="0"/>
        <w:snapToGrid w:val="0"/>
        <w:spacing w:line="500" w:lineRule="exact"/>
        <w:ind w:firstLine="420" w:firstLineChars="200"/>
      </w:pPr>
      <w:r>
        <w:t>根据B超声像图特征，一般可以作出肝癌初步诊断，但应注意与以下疾病鉴别：</w:t>
      </w:r>
    </w:p>
    <w:p>
      <w:pPr>
        <w:adjustRightInd w:val="0"/>
        <w:snapToGrid w:val="0"/>
        <w:spacing w:line="500" w:lineRule="exact"/>
        <w:ind w:firstLine="420" w:firstLineChars="200"/>
      </w:pPr>
      <w:r>
        <w:t xml:space="preserve">①肝血管瘤：是较为常见的肝脏良性肿瘤，绝大多数病例肿瘤直径小于4 </w:t>
      </w:r>
      <w:r>
        <w:rPr>
          <w:rFonts w:hint="eastAsia"/>
        </w:rPr>
        <w:t>厘米</w:t>
      </w:r>
      <w:r>
        <w:t xml:space="preserve">且无症状，不需要治疗。声像图特征：分为毛细血管瘤与海绵状血管瘤，前者较小，直径多在1～3 </w:t>
      </w:r>
      <w:r>
        <w:rPr>
          <w:rFonts w:hint="eastAsia"/>
        </w:rPr>
        <w:t>厘米</w:t>
      </w:r>
      <w:r>
        <w:t>，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adjustRightInd w:val="0"/>
        <w:snapToGrid w:val="0"/>
        <w:spacing w:line="500" w:lineRule="exact"/>
        <w:ind w:firstLine="420" w:firstLineChars="200"/>
      </w:pPr>
      <w:r>
        <w:t>②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adjustRightInd w:val="0"/>
        <w:snapToGrid w:val="0"/>
        <w:spacing w:line="500" w:lineRule="exact"/>
        <w:ind w:firstLine="420" w:firstLineChars="200"/>
      </w:pPr>
      <w:r>
        <w:t>③肝局灶性结节样增生：一般认为本病是瘤样畸形而非真性肿瘤，为良性非进展病变。声像图特征：肝脏形态常不规则，回声不均匀，血管走行扭曲，有时不易与肝癌鉴别。具有典型表现者内部可见星状强回声，可为鉴别诊断提供依据。确诊依赖肝穿刺组织学检查。</w:t>
      </w:r>
    </w:p>
    <w:p>
      <w:pPr>
        <w:adjustRightInd w:val="0"/>
        <w:snapToGrid w:val="0"/>
        <w:spacing w:line="500" w:lineRule="exact"/>
        <w:ind w:firstLine="420" w:firstLineChars="200"/>
      </w:pPr>
      <w:r>
        <w:t>当超声检查难以区别肝内占位性病变性质时，可根据条件选择以下检查明确诊断：①CT、</w:t>
      </w:r>
      <w:r>
        <w:rPr>
          <w:rFonts w:hint="eastAsia"/>
        </w:rPr>
        <w:t>M</w:t>
      </w:r>
      <w:r>
        <w:t>RI；②肝核素血池扫描；③血清甲胎蛋白（AFP）检查；④必要时可在超声引导下穿刺钳取活组织进行组织学或细胞学诊断。肝内占位性病变必须除外肝癌后，方可作合格结论。</w:t>
      </w:r>
    </w:p>
    <w:p>
      <w:pPr>
        <w:adjustRightInd w:val="0"/>
        <w:snapToGrid w:val="0"/>
        <w:spacing w:line="500" w:lineRule="exact"/>
        <w:ind w:firstLine="420" w:firstLineChars="200"/>
      </w:pPr>
      <w:r>
        <w:t>8.2.3  乳腺癌  是女性中常见的恶性肿瘤。</w:t>
      </w:r>
    </w:p>
    <w:p>
      <w:pPr>
        <w:adjustRightInd w:val="0"/>
        <w:snapToGrid w:val="0"/>
        <w:spacing w:line="500" w:lineRule="exact"/>
        <w:ind w:firstLine="420" w:firstLineChars="200"/>
      </w:pPr>
      <w:r>
        <w:t>1）病史询问要点：有无乳腺癌家族史，有无与乳腺癌发生的有关病史，如月经情况、婚育史、哺乳史，既往有无乳腺疾患等；乳腺肿块生长速度，有无疼痛，疼痛与经期关系，乳头有无血性溢液、糜烂等。</w:t>
      </w:r>
    </w:p>
    <w:p>
      <w:pPr>
        <w:adjustRightInd w:val="0"/>
        <w:snapToGrid w:val="0"/>
        <w:spacing w:line="500" w:lineRule="exact"/>
        <w:ind w:firstLine="420" w:firstLineChars="200"/>
      </w:pPr>
      <w: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adjustRightInd w:val="0"/>
        <w:snapToGrid w:val="0"/>
        <w:spacing w:line="500" w:lineRule="exact"/>
        <w:ind w:firstLine="420" w:firstLineChars="200"/>
      </w:pPr>
      <w:r>
        <w:t>3）辅助检查要点：体检怀疑乳腺癌时，可做乳腺B超检查、摄乳腺钼靶片或进行活组织病理学检查，以明确病变性质。</w:t>
      </w:r>
    </w:p>
    <w:p>
      <w:pPr>
        <w:adjustRightInd w:val="0"/>
        <w:snapToGrid w:val="0"/>
        <w:spacing w:line="500" w:lineRule="exact"/>
        <w:ind w:firstLine="420" w:firstLineChars="200"/>
      </w:pPr>
      <w:r>
        <w:t>8.2.4  大肠癌  结肠癌、直肠癌统称为大肠癌，是消化道常见的恶性肿瘤之一。大肠癌生长缓慢，早期多无症状，多数患者确诊时已是中晚期，影响预后。一经诊断，不合格。</w:t>
      </w:r>
    </w:p>
    <w:p>
      <w:pPr>
        <w:adjustRightInd w:val="0"/>
        <w:snapToGrid w:val="0"/>
        <w:spacing w:line="500" w:lineRule="exact"/>
        <w:ind w:firstLine="420" w:firstLineChars="200"/>
      </w:pPr>
      <w:r>
        <w:t>1）病史询问要点：有无大肠癌家族史、排便习惯改变和便性状改变，有无便血、腹痛等。</w:t>
      </w:r>
    </w:p>
    <w:p>
      <w:pPr>
        <w:adjustRightInd w:val="0"/>
        <w:snapToGrid w:val="0"/>
        <w:spacing w:line="500" w:lineRule="exact"/>
        <w:ind w:firstLine="420" w:firstLineChars="200"/>
      </w:pPr>
      <w:r>
        <w:t>2）查体要点：早中期一般无特殊体征；晚期可出现腹部肿块、贫血、体重减轻等表现。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adjustRightInd w:val="0"/>
        <w:snapToGrid w:val="0"/>
        <w:spacing w:line="500" w:lineRule="exact"/>
        <w:ind w:firstLine="420" w:firstLineChars="200"/>
      </w:pPr>
      <w:r>
        <w:t>3）辅助检查要点：可疑病例应做进一步检查。内镜检查可直视下观察直肠粘膜表面情况，并可取活组织作病理学检查，有助于明确诊断。</w:t>
      </w:r>
    </w:p>
    <w:p>
      <w:pPr>
        <w:adjustRightInd w:val="0"/>
        <w:snapToGrid w:val="0"/>
        <w:spacing w:line="500" w:lineRule="exact"/>
        <w:ind w:firstLine="420" w:firstLineChars="200"/>
      </w:pPr>
      <w:r>
        <w:t>8.2.5  胆囊癌  是胆道系统中常见的恶性肿瘤，恶性程度高，生长快，易侵犯邻近组织器官和发生广泛转移，预后差。</w:t>
      </w:r>
    </w:p>
    <w:p>
      <w:pPr>
        <w:adjustRightInd w:val="0"/>
        <w:snapToGrid w:val="0"/>
        <w:spacing w:line="500" w:lineRule="exact"/>
        <w:ind w:firstLine="420" w:firstLineChars="200"/>
      </w:pPr>
      <w:r>
        <w:t>1）病史询问要点：以往有无胆囊结石、胆囊息肉等高危因素史。</w:t>
      </w:r>
    </w:p>
    <w:p>
      <w:pPr>
        <w:adjustRightInd w:val="0"/>
        <w:snapToGrid w:val="0"/>
        <w:spacing w:line="500" w:lineRule="exact"/>
        <w:ind w:firstLine="420" w:firstLineChars="200"/>
      </w:pPr>
      <w:r>
        <w:t>2）查体要点：早期无特殊体征；右上腹肿块、黄疸、肝大、腹水、消瘦等均属晚期体征。</w:t>
      </w:r>
    </w:p>
    <w:p>
      <w:pPr>
        <w:adjustRightInd w:val="0"/>
        <w:snapToGrid w:val="0"/>
        <w:spacing w:line="500" w:lineRule="exact"/>
        <w:ind w:firstLine="420" w:firstLineChars="200"/>
      </w:pPr>
      <w:r>
        <w:t xml:space="preserve">3）辅助检查要点：早期诊断主要依靠腹部B超检查。其声像图表现为局部胆囊壁增厚，内缘不光滑，或自胆囊壁向腔内突出结节，基底部较宽，结节直径常大于10 </w:t>
      </w:r>
      <w:r>
        <w:rPr>
          <w:rFonts w:hint="eastAsia"/>
        </w:rPr>
        <w:t>毫米</w:t>
      </w:r>
      <w:r>
        <w:t>，表面不平整，回声不均，CDFI显示其内可测及高速动脉血流。应注意与以下胆囊隆起性病变相鉴别：</w:t>
      </w:r>
    </w:p>
    <w:p>
      <w:pPr>
        <w:adjustRightInd w:val="0"/>
        <w:snapToGrid w:val="0"/>
        <w:spacing w:line="500" w:lineRule="exact"/>
        <w:ind w:firstLine="420" w:firstLineChars="200"/>
      </w:pPr>
      <w:r>
        <w:t xml:space="preserve">①胆囊息肉：大部分为良性病变，最常见的是胆固醇性息肉，少数为炎性息肉或肿瘤。声像图表现为自囊壁向腔内突起的强回声结节，无声影，不随体位改变而移动，体积较小，一般直径不超过10 </w:t>
      </w:r>
      <w:r>
        <w:rPr>
          <w:rFonts w:hint="eastAsia"/>
        </w:rPr>
        <w:t>豪米</w:t>
      </w:r>
      <w:r>
        <w:t xml:space="preserve">，基底部较窄。对直径大于10 </w:t>
      </w:r>
      <w:r>
        <w:rPr>
          <w:rFonts w:hint="eastAsia"/>
        </w:rPr>
        <w:t>毫米</w:t>
      </w:r>
      <w:r>
        <w:t>者均应提高警惕，可加做CDFI检查，息肉者结节内无高速动脉血流；如果不能除外胆囊癌可能，需进一步做CT检查，必要时须经手术病理证实</w:t>
      </w:r>
      <w:r>
        <w:rPr>
          <w:rFonts w:eastAsia="黑体"/>
          <w:b/>
        </w:rPr>
        <w:t>。</w:t>
      </w:r>
      <w:r>
        <w:t>明确良性诊断后，作合格结论。</w:t>
      </w:r>
    </w:p>
    <w:p>
      <w:pPr>
        <w:adjustRightInd w:val="0"/>
        <w:snapToGrid w:val="0"/>
        <w:spacing w:line="500" w:lineRule="exact"/>
        <w:ind w:firstLine="420" w:firstLineChars="200"/>
      </w:pPr>
      <w:r>
        <w:t>②胆囊腺肌病：属良性病变，多无症状，一般通过B超检查即可确诊。声像图表现为胆囊壁增厚，可呈弥漫型、节段型或底部局限型隆起，于增厚的胆囊壁内可见小的圆形无回声囊腔。本病预后良好，无症状者不需治疗，合格。</w:t>
      </w:r>
    </w:p>
    <w:p>
      <w:pPr>
        <w:adjustRightInd w:val="0"/>
        <w:snapToGrid w:val="0"/>
        <w:spacing w:line="500" w:lineRule="exact"/>
        <w:ind w:firstLine="420" w:firstLineChars="200"/>
      </w:pPr>
      <w:r>
        <w:t>8.2.6  肾癌  肾脏的肿瘤大多为恶性，肾癌约占肾脏肿瘤的80%，是最常见的肾脏肿瘤。</w:t>
      </w:r>
    </w:p>
    <w:p>
      <w:pPr>
        <w:adjustRightInd w:val="0"/>
        <w:snapToGrid w:val="0"/>
        <w:spacing w:line="500" w:lineRule="exact"/>
        <w:ind w:left="420"/>
      </w:pPr>
      <w:r>
        <w:t>1）病史询问要点：早期无症状；中晚期可出现腰痛、血尿等症状。</w:t>
      </w:r>
    </w:p>
    <w:p>
      <w:pPr>
        <w:adjustRightInd w:val="0"/>
        <w:snapToGrid w:val="0"/>
        <w:spacing w:line="500" w:lineRule="exact"/>
        <w:ind w:firstLine="420" w:firstLineChars="200"/>
      </w:pPr>
      <w:r>
        <w:t>2）查体要点：早期肾癌可无明显体征；晚期腰部或腹部有时可触及肿物，可见锁骨上淋巴结肿大。精索静脉曲张平卧不消失要考虑有肾癌伴静脉瘤栓的可能。</w:t>
      </w:r>
    </w:p>
    <w:p>
      <w:pPr>
        <w:adjustRightInd w:val="0"/>
        <w:snapToGrid w:val="0"/>
        <w:spacing w:line="500" w:lineRule="exact"/>
        <w:ind w:firstLine="420" w:firstLineChars="200"/>
      </w:pPr>
      <w: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adjustRightInd w:val="0"/>
        <w:snapToGrid w:val="0"/>
        <w:spacing w:line="500" w:lineRule="exact"/>
        <w:ind w:firstLine="420" w:firstLineChars="200"/>
      </w:pPr>
      <w:r>
        <w:t>小的肾占位性病变经B超检查一般均可发现，再配合CDFI、增强CT等检测手段，能够较早地发现和诊断无症状的小肾癌。但应注意与以下情况相鉴别：</w:t>
      </w:r>
    </w:p>
    <w:p>
      <w:pPr>
        <w:adjustRightInd w:val="0"/>
        <w:snapToGrid w:val="0"/>
        <w:spacing w:line="500" w:lineRule="exact"/>
        <w:ind w:firstLine="420" w:firstLineChars="200"/>
      </w:pPr>
      <w: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adjustRightInd w:val="0"/>
        <w:snapToGrid w:val="0"/>
        <w:spacing w:line="500" w:lineRule="exact"/>
        <w:ind w:firstLine="420" w:firstLineChars="200"/>
      </w:pPr>
      <w: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adjustRightInd w:val="0"/>
        <w:snapToGrid w:val="0"/>
        <w:spacing w:line="500" w:lineRule="exact"/>
        <w:ind w:firstLine="420" w:firstLineChars="200"/>
      </w:pPr>
      <w:r>
        <w:t>③单纯肾囊肿：非典型肾囊肿（壁不规则或增厚、囊内有回声、有钙化、后方增强效应减弱等）中约有40%为肿瘤，所以对不典型的肾囊性肿块，应仔细观察其内部回声特点及囊壁情况，有助于作出正确判断。</w:t>
      </w:r>
    </w:p>
    <w:p>
      <w:pPr>
        <w:adjustRightInd w:val="0"/>
        <w:snapToGrid w:val="0"/>
        <w:spacing w:line="500" w:lineRule="exact"/>
        <w:ind w:firstLine="420" w:firstLineChars="200"/>
      </w:pPr>
      <w:r>
        <w:t>除B超检查外，对于尿液检查提示为持续性镜下血尿者，也应提高警惕，注意寻找原因，力求明确诊断。</w:t>
      </w:r>
    </w:p>
    <w:p>
      <w:pPr>
        <w:adjustRightInd w:val="0"/>
        <w:snapToGrid w:val="0"/>
        <w:spacing w:line="500" w:lineRule="exact"/>
        <w:ind w:firstLine="420" w:firstLineChars="200"/>
      </w:pPr>
      <w:r>
        <w:t>8.2.7  甲状腺癌  甲状腺癌在全部恶性肿瘤中占2%左右，而且有增长的趋势，在头颈部恶性肿瘤中占首位。</w:t>
      </w:r>
    </w:p>
    <w:p>
      <w:pPr>
        <w:adjustRightInd w:val="0"/>
        <w:snapToGrid w:val="0"/>
        <w:spacing w:line="500" w:lineRule="exact"/>
        <w:ind w:firstLine="420" w:firstLineChars="200"/>
      </w:pPr>
      <w:r>
        <w:t>1）病史询问要点：有无接受颈部放射治疗史，有无结节性甲状腺肿、甲状腺腺瘤及其他部位恶性肿瘤史，有无声音嘶哑等伴随症状。</w:t>
      </w:r>
    </w:p>
    <w:p>
      <w:pPr>
        <w:adjustRightInd w:val="0"/>
        <w:snapToGrid w:val="0"/>
        <w:spacing w:line="500" w:lineRule="exact"/>
        <w:ind w:firstLine="420" w:firstLineChars="200"/>
      </w:pPr>
      <w:r>
        <w:t>2）查体要点：注意甲状腺结节是单发还是多发，局限在一叶甲状腺还是两叶皆被累及，结节的大小、形状、质地及活动度，发音是否嘶哑，气管位置有无偏移，颈部淋巴结有无肿大等。</w:t>
      </w:r>
    </w:p>
    <w:p>
      <w:pPr>
        <w:adjustRightInd w:val="0"/>
        <w:snapToGrid w:val="0"/>
        <w:spacing w:line="500" w:lineRule="exact"/>
        <w:ind w:firstLine="420" w:firstLineChars="200"/>
      </w:pPr>
      <w:r>
        <w:t>3）辅助检查要点：甲状腺结节，特别是单发结节，体检中往往难以确定其性质，需进一步做特殊检查。</w:t>
      </w:r>
    </w:p>
    <w:p>
      <w:pPr>
        <w:adjustRightInd w:val="0"/>
        <w:snapToGrid w:val="0"/>
        <w:spacing w:line="500" w:lineRule="exact"/>
        <w:ind w:firstLine="420" w:firstLineChars="200"/>
      </w:pPr>
      <w:r>
        <w:t>①B超：了解甲状腺结节数目、性质（囊性、实性还是囊实性），结节包膜是否完整，颈部淋巴结有无肿大。甲状腺癌在超声声图像中多表现为单发、低回声结节，肿瘤内可见微小钙化点，颈部可有肿大淋巴结。</w:t>
      </w:r>
    </w:p>
    <w:p>
      <w:pPr>
        <w:adjustRightInd w:val="0"/>
        <w:snapToGrid w:val="0"/>
        <w:spacing w:line="500" w:lineRule="exact"/>
        <w:ind w:firstLine="420" w:firstLineChars="200"/>
      </w:pPr>
      <w:r>
        <w:t>②X线颈部平片：观察甲状腺结节内有无钙化灶，是否为泥沙样或絮状钙化，气管有无受压、移位。</w:t>
      </w:r>
    </w:p>
    <w:p>
      <w:pPr>
        <w:adjustRightInd w:val="0"/>
        <w:snapToGrid w:val="0"/>
        <w:spacing w:line="500" w:lineRule="exact"/>
        <w:ind w:firstLine="420" w:firstLineChars="200"/>
      </w:pPr>
      <w:r>
        <w:t>③同位素核素扫描：甲状腺癌表现为甲状腺的冷或凉结节。扫描还能检查身体其他部位有无转移病灶。</w:t>
      </w:r>
    </w:p>
    <w:p>
      <w:pPr>
        <w:adjustRightInd w:val="0"/>
        <w:snapToGrid w:val="0"/>
        <w:spacing w:line="500" w:lineRule="exact"/>
        <w:ind w:firstLine="420" w:firstLineChars="200"/>
      </w:pPr>
      <w:r>
        <w:t>甲状腺结节的良、恶性识别是体检中经常遇到的问题。若甲状腺结节伴有下列高危因素，需多考虑甲状腺癌的诊断，必要时做病理学检查，以明确诊断。</w:t>
      </w:r>
    </w:p>
    <w:p>
      <w:pPr>
        <w:adjustRightInd w:val="0"/>
        <w:snapToGrid w:val="0"/>
        <w:spacing w:line="500" w:lineRule="exact"/>
        <w:ind w:firstLine="420" w:firstLineChars="200"/>
      </w:pPr>
      <w:r>
        <w:t>①甲状腺孤立实性结节，质硬，不光滑，活动度差。</w:t>
      </w:r>
    </w:p>
    <w:p>
      <w:pPr>
        <w:adjustRightInd w:val="0"/>
        <w:snapToGrid w:val="0"/>
        <w:spacing w:line="500" w:lineRule="exact"/>
        <w:ind w:firstLine="420" w:firstLineChars="200"/>
      </w:pPr>
      <w:r>
        <w:t>②既往颈部有放射线接触史。</w:t>
      </w:r>
    </w:p>
    <w:p>
      <w:pPr>
        <w:adjustRightInd w:val="0"/>
        <w:snapToGrid w:val="0"/>
        <w:spacing w:line="500" w:lineRule="exact"/>
        <w:ind w:firstLine="420" w:firstLineChars="200"/>
      </w:pPr>
      <w:r>
        <w:t>③既往长期有结节性甲状腺肿，而近期甲状腺结节迅速增大、变硬。</w:t>
      </w:r>
    </w:p>
    <w:p>
      <w:pPr>
        <w:adjustRightInd w:val="0"/>
        <w:snapToGrid w:val="0"/>
        <w:spacing w:line="500" w:lineRule="exact"/>
        <w:ind w:firstLine="420" w:firstLineChars="200"/>
      </w:pPr>
      <w:r>
        <w:t>④有声音嘶哑、进食呛噎等伴随症状。</w:t>
      </w:r>
    </w:p>
    <w:p>
      <w:pPr>
        <w:adjustRightInd w:val="0"/>
        <w:snapToGrid w:val="0"/>
        <w:spacing w:line="500" w:lineRule="exact"/>
        <w:ind w:firstLine="420" w:firstLineChars="200"/>
      </w:pPr>
      <w:r>
        <w:t>⑤甲状腺结节伴颈部淋巴结肿大。</w:t>
      </w:r>
    </w:p>
    <w:p>
      <w:pPr>
        <w:adjustRightInd w:val="0"/>
        <w:snapToGrid w:val="0"/>
        <w:spacing w:line="500" w:lineRule="exact"/>
        <w:ind w:firstLine="420" w:firstLineChars="200"/>
      </w:pPr>
      <w:r>
        <w:t>⑥X线提示甲状腺肿物内有絮状或泥沙样钙化。</w:t>
      </w:r>
    </w:p>
    <w:p>
      <w:pPr>
        <w:adjustRightInd w:val="0"/>
        <w:snapToGrid w:val="0"/>
        <w:spacing w:line="500" w:lineRule="exact"/>
        <w:ind w:firstLine="420" w:firstLineChars="200"/>
      </w:pPr>
      <w:r>
        <w:t>8.2.8  食管癌  食管癌（包括贲门癌）是我国常见的恶性肿瘤。</w:t>
      </w:r>
    </w:p>
    <w:p>
      <w:pPr>
        <w:adjustRightInd w:val="0"/>
        <w:snapToGrid w:val="0"/>
        <w:spacing w:line="500" w:lineRule="exact"/>
        <w:ind w:firstLine="420" w:firstLineChars="200"/>
      </w:pPr>
      <w:r>
        <w:t>1）病史询问要点：早期症状存在个体差异。注意询问有无吞咽时胸骨后不适、烧灼感或疼痛，食物通过时有无滞留感和梗阻感，有无进行性吞咽困难、食物反流等症状。</w:t>
      </w:r>
    </w:p>
    <w:p>
      <w:pPr>
        <w:adjustRightInd w:val="0"/>
        <w:snapToGrid w:val="0"/>
        <w:spacing w:line="500" w:lineRule="exact"/>
        <w:ind w:firstLine="420" w:firstLineChars="200"/>
      </w:pPr>
      <w:r>
        <w:t>2）查体要点：本病早、中期无特殊体征；晚期可有营养不良、消瘦、贫血等表现。</w:t>
      </w:r>
    </w:p>
    <w:p>
      <w:pPr>
        <w:adjustRightInd w:val="0"/>
        <w:snapToGrid w:val="0"/>
        <w:spacing w:line="500" w:lineRule="exact"/>
        <w:ind w:firstLine="420" w:firstLineChars="200"/>
      </w:pPr>
      <w:r>
        <w:t>3）辅助检查要点：遇可疑病例，必要时可做食管钡餐造影或胃镜检查，不难诊断。</w:t>
      </w:r>
    </w:p>
    <w:p>
      <w:pPr>
        <w:adjustRightInd w:val="0"/>
        <w:snapToGrid w:val="0"/>
        <w:spacing w:line="500" w:lineRule="exact"/>
        <w:ind w:firstLine="420" w:firstLineChars="200"/>
      </w:pPr>
      <w:r>
        <w:t>本病一经诊断，作不合格结论。</w:t>
      </w:r>
    </w:p>
    <w:p>
      <w:pPr>
        <w:adjustRightInd w:val="0"/>
        <w:snapToGrid w:val="0"/>
        <w:spacing w:line="500" w:lineRule="exact"/>
        <w:ind w:firstLine="420" w:firstLineChars="200"/>
      </w:pPr>
      <w:r>
        <w:t>8.2.9  胃癌  是最常见的恶性肿瘤之一，占消化道癌瘤死亡的首位。</w:t>
      </w:r>
    </w:p>
    <w:p>
      <w:pPr>
        <w:adjustRightInd w:val="0"/>
        <w:snapToGrid w:val="0"/>
        <w:spacing w:line="500" w:lineRule="exact"/>
        <w:ind w:firstLine="420" w:firstLineChars="200"/>
      </w:pPr>
      <w:r>
        <w:t>1）病史询问要点：早期病例多无症状，或有上腹不适、反酸、嗳气等非特异性症状；中、晚期可有乏力、消瘦、贫血等慢性消耗性表现，或上消化道出血、梗阻等并发症表现。</w:t>
      </w:r>
    </w:p>
    <w:p>
      <w:pPr>
        <w:adjustRightInd w:val="0"/>
        <w:snapToGrid w:val="0"/>
        <w:spacing w:line="500" w:lineRule="exact"/>
        <w:ind w:firstLine="420" w:firstLineChars="200"/>
      </w:pPr>
      <w:r>
        <w:t>2）查体要点：早期病例多无特殊体征，中晚期可出现上腹部包块、贫血、左锁骨上淋巴结肿大等。</w:t>
      </w:r>
    </w:p>
    <w:p>
      <w:pPr>
        <w:adjustRightInd w:val="0"/>
        <w:snapToGrid w:val="0"/>
        <w:spacing w:line="500" w:lineRule="exact"/>
        <w:ind w:firstLine="420" w:firstLineChars="200"/>
      </w:pPr>
      <w: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8.3  注意事项</w:t>
      </w:r>
    </w:p>
    <w:p>
      <w:pPr>
        <w:adjustRightInd w:val="0"/>
        <w:snapToGrid w:val="0"/>
        <w:spacing w:line="500" w:lineRule="exact"/>
        <w:ind w:firstLine="420" w:firstLineChars="200"/>
        <w:rPr>
          <w:color w:val="000000"/>
        </w:rPr>
      </w:pPr>
      <w:r>
        <w:t xml:space="preserve">关于“良性肿瘤”的体检结论  </w:t>
      </w:r>
      <w:r>
        <w:rPr>
          <w:color w:val="000000"/>
        </w:rPr>
        <w:t>《标准》条款未对良性肿瘤（有明确的病理学依据）作出限制性规定，这是因为，第一，体检中往往只能发现占位性病变，而对病变的性质不能确诊；第二，虽然</w:t>
      </w:r>
      <w:r>
        <w:t>良性肿瘤多生长缓慢，不侵犯邻近组织，不发生转移，对诊断明确、无相关症状、不影响脏器功能且不需要进行治疗者，一般情况下应视为体检合格。但如果肿瘤发生在重要器官如纵隔、心脏、颅脑等，或肿瘤体积较大产生压迫、梗阻等症状，或易发生感染、破裂、癌变等并发症，则这部分患者应及早到医院进行手术等治疗，手术治愈后并结合肿瘤的病理性质，</w:t>
      </w:r>
      <w:r>
        <w:rPr>
          <w:color w:val="000000"/>
        </w:rPr>
        <w:t>作出是否体检合格的结论。</w:t>
      </w:r>
    </w:p>
    <w:p>
      <w:pPr>
        <w:adjustRightInd w:val="0"/>
        <w:snapToGrid w:val="0"/>
        <w:spacing w:line="500" w:lineRule="exact"/>
        <w:ind w:firstLine="420" w:firstLineChars="200"/>
        <w:rPr>
          <w:rFonts w:hint="eastAsia"/>
          <w:color w:val="000000"/>
        </w:rPr>
      </w:pPr>
    </w:p>
    <w:p>
      <w:pPr>
        <w:pStyle w:val="3"/>
        <w:adjustRightInd w:val="0"/>
        <w:snapToGrid w:val="0"/>
        <w:spacing w:before="0" w:after="0" w:line="500" w:lineRule="exact"/>
        <w:rPr>
          <w:rFonts w:hint="eastAsia" w:ascii="黑体" w:hAnsi="黑体" w:eastAsia="黑体" w:cs="黑体"/>
          <w:sz w:val="21"/>
          <w:szCs w:val="21"/>
        </w:rPr>
      </w:pPr>
      <w:bookmarkStart w:id="22" w:name="_Toc391888332"/>
      <w:r>
        <w:rPr>
          <w:rFonts w:hint="eastAsia" w:ascii="黑体" w:hAnsi="黑体" w:eastAsia="黑体" w:cs="黑体"/>
          <w:sz w:val="21"/>
          <w:szCs w:val="21"/>
        </w:rPr>
        <w:t>9  关于肾脏疾病</w:t>
      </w:r>
      <w:bookmarkEnd w:id="22"/>
    </w:p>
    <w:p>
      <w:pPr>
        <w:adjustRightInd w:val="0"/>
        <w:snapToGrid w:val="0"/>
        <w:spacing w:line="500" w:lineRule="exact"/>
        <w:ind w:firstLine="413" w:firstLineChars="196"/>
        <w:rPr>
          <w:rFonts w:eastAsia="楷体_GB2312"/>
          <w:b/>
          <w:bCs/>
        </w:rPr>
      </w:pPr>
      <w:r>
        <w:rPr>
          <w:rFonts w:eastAsia="楷体_GB2312"/>
          <w:b/>
          <w:bCs/>
        </w:rPr>
        <w:t>第九条  肾炎、慢性肾盂肾炎、多囊肾、肾功能不全，不合格。</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9.1  条文解释</w:t>
      </w:r>
    </w:p>
    <w:p>
      <w:pPr>
        <w:adjustRightInd w:val="0"/>
        <w:snapToGrid w:val="0"/>
        <w:spacing w:line="500" w:lineRule="exact"/>
        <w:ind w:firstLine="420" w:firstLineChars="200"/>
      </w:pPr>
      <w: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adjustRightInd w:val="0"/>
        <w:snapToGrid w:val="0"/>
        <w:spacing w:line="500" w:lineRule="exact"/>
        <w:ind w:firstLine="420" w:firstLineChars="200"/>
      </w:pPr>
      <w:r>
        <w:t>9.1.1  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治疗不当，后期均可发展为不同程度的肾功能不全，甚至肾功能衰竭，需要长期透析治疗或做肾移植手术才能维持生命。</w:t>
      </w:r>
    </w:p>
    <w:p>
      <w:pPr>
        <w:adjustRightInd w:val="0"/>
        <w:snapToGrid w:val="0"/>
        <w:spacing w:line="500" w:lineRule="exact"/>
        <w:ind w:firstLine="420" w:firstLineChars="200"/>
      </w:pPr>
      <w: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adjustRightInd w:val="0"/>
        <w:snapToGrid w:val="0"/>
        <w:spacing w:line="500" w:lineRule="exact"/>
        <w:ind w:firstLine="420" w:firstLineChars="200"/>
      </w:pPr>
      <w: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肾功能衰竭。</w:t>
      </w:r>
    </w:p>
    <w:p>
      <w:pPr>
        <w:adjustRightInd w:val="0"/>
        <w:snapToGrid w:val="0"/>
        <w:spacing w:line="500" w:lineRule="exact"/>
        <w:ind w:firstLine="420" w:firstLineChars="200"/>
      </w:pPr>
      <w:r>
        <w:t>9.1.4  肾功能不全  分为急性、慢性两种，体检中遇到者一般均为慢性病例。肾功能不全与肾功能衰竭是疾病发展的不同阶段，从肾功能不全逐渐进展到肾功能衰竭期、尿毒症期（慢性肾功能衰竭的终末阶段），此阶段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9.2  诊断要点</w:t>
      </w:r>
    </w:p>
    <w:p>
      <w:pPr>
        <w:adjustRightInd w:val="0"/>
        <w:snapToGrid w:val="0"/>
        <w:spacing w:line="500" w:lineRule="exact"/>
        <w:ind w:firstLine="420" w:firstLineChars="200"/>
      </w:pPr>
      <w:r>
        <w:t>9.2.1  急性肾炎  包括各种病因引起的急性肾小球疾患，以感染引起的急性肾小球肾炎最常见。</w:t>
      </w:r>
    </w:p>
    <w:p>
      <w:pPr>
        <w:adjustRightInd w:val="0"/>
        <w:snapToGrid w:val="0"/>
        <w:spacing w:line="500" w:lineRule="exact"/>
        <w:ind w:firstLine="420" w:firstLineChars="200"/>
      </w:pPr>
      <w:r>
        <w:t>1）病史询问要点：发病前1～3周有无扁桃体炎、咽峡炎等上呼吸道感染史，以及丹毒、脓皮病等皮肤链球菌感染史。</w:t>
      </w:r>
    </w:p>
    <w:p>
      <w:pPr>
        <w:adjustRightInd w:val="0"/>
        <w:snapToGrid w:val="0"/>
        <w:spacing w:line="500" w:lineRule="exact"/>
        <w:ind w:firstLine="420" w:firstLineChars="200"/>
      </w:pPr>
      <w:r>
        <w:t>2）查体要点：本病以急性肾炎综合征为主要表现，体检时应注意有无水肿（特别是眼睑水肿）、高血压。</w:t>
      </w:r>
    </w:p>
    <w:p>
      <w:pPr>
        <w:adjustRightInd w:val="0"/>
        <w:snapToGrid w:val="0"/>
        <w:spacing w:line="500" w:lineRule="exact"/>
        <w:ind w:firstLine="420" w:firstLineChars="200"/>
      </w:pPr>
      <w:r>
        <w:t>3）辅助检查要点：尿常规检查可见尿液异常，如血尿、蛋白尿，部分病例尿沉渣检查可见到上皮细胞和各种管型。血尿为诊断急性肾炎的必备条件，没有血尿不能诊断急性肾炎。蛋白尿则可轻可重。</w:t>
      </w:r>
    </w:p>
    <w:p>
      <w:pPr>
        <w:adjustRightInd w:val="0"/>
        <w:snapToGrid w:val="0"/>
        <w:spacing w:line="500" w:lineRule="exact"/>
        <w:ind w:firstLine="420" w:firstLineChars="200"/>
      </w:pPr>
      <w: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adjustRightInd w:val="0"/>
        <w:snapToGrid w:val="0"/>
        <w:spacing w:line="500" w:lineRule="exact"/>
        <w:ind w:firstLine="420" w:firstLineChars="200"/>
      </w:pPr>
      <w:r>
        <w:t>9.2.2  慢性肾炎  系由多种病因引起的一组肾小球疾病，蛋白尿、水肿、高血压是其主要临床表现，它与急性肾炎是两种不同的疾病，大部分慢性肾炎患者并无急性肾炎病史。</w:t>
      </w:r>
    </w:p>
    <w:p>
      <w:pPr>
        <w:adjustRightInd w:val="0"/>
        <w:snapToGrid w:val="0"/>
        <w:spacing w:line="500" w:lineRule="exact"/>
        <w:ind w:firstLine="420" w:firstLineChars="200"/>
      </w:pPr>
      <w:r>
        <w:t>1）病史询问要点：起病经过，大多数为隐匿起病，病程长，病情发展缓慢，多以水肿为首发症状。</w:t>
      </w:r>
    </w:p>
    <w:p>
      <w:pPr>
        <w:adjustRightInd w:val="0"/>
        <w:snapToGrid w:val="0"/>
        <w:spacing w:line="500" w:lineRule="exact"/>
        <w:ind w:firstLine="420" w:firstLineChars="200"/>
      </w:pPr>
      <w:r>
        <w:t>2）查体要点：注意有无水肿，特别是眼睑、下肢水肿，有无高血压。</w:t>
      </w:r>
    </w:p>
    <w:p>
      <w:pPr>
        <w:adjustRightInd w:val="0"/>
        <w:snapToGrid w:val="0"/>
        <w:spacing w:line="500" w:lineRule="exact"/>
        <w:ind w:firstLine="420" w:firstLineChars="200"/>
      </w:pPr>
      <w:r>
        <w:t>3）辅助检查要点：慢性肾炎活动的指标包括持续性镜下血尿、红细胞颗粒管型尿、尿白细胞及上皮细胞明显增多，伴有高血压或高度水肿，容易发展成为慢性肾功能衰竭。</w:t>
      </w:r>
    </w:p>
    <w:p>
      <w:pPr>
        <w:adjustRightInd w:val="0"/>
        <w:snapToGrid w:val="0"/>
        <w:spacing w:line="500" w:lineRule="exact"/>
        <w:ind w:firstLine="420" w:firstLineChars="200"/>
      </w:pPr>
      <w:r>
        <w:t>9.2.3  继发性肾炎  以弥漫性结缔组织病引起者最为常见，其中由系统性红斑狼疮累及肾脏者称为狼疮性肾炎，过敏性紫癜累及肾脏者称为紫癜性肾炎。</w:t>
      </w:r>
    </w:p>
    <w:p>
      <w:pPr>
        <w:adjustRightInd w:val="0"/>
        <w:snapToGrid w:val="0"/>
        <w:spacing w:line="500" w:lineRule="exact"/>
        <w:ind w:firstLine="420" w:firstLineChars="200"/>
      </w:pPr>
      <w:r>
        <w:t>1）病史询问要点：有无相关病史，特别是红斑狼疮或过敏性紫癜等疾病史。</w:t>
      </w:r>
    </w:p>
    <w:p>
      <w:pPr>
        <w:adjustRightInd w:val="0"/>
        <w:snapToGrid w:val="0"/>
        <w:spacing w:line="500" w:lineRule="exact"/>
        <w:ind w:firstLine="420" w:firstLineChars="200"/>
      </w:pPr>
      <w:r>
        <w:t>2）查体要点：狼疮性肾炎除急性肾炎综合征（血尿、蛋白尿、水肿、高血压）外，结合皮肤特有病损表现、多系统多器官受累表现，紫癜性肾炎结合典型的皮疹特征，可以作出临床诊断。</w:t>
      </w:r>
    </w:p>
    <w:p>
      <w:pPr>
        <w:adjustRightInd w:val="0"/>
        <w:snapToGrid w:val="0"/>
        <w:spacing w:line="500" w:lineRule="exact"/>
        <w:ind w:firstLine="420" w:firstLineChars="200"/>
      </w:pPr>
      <w:r>
        <w:t>3）辅助检查要点：尿常规检查见血尿、蛋白尿，部分可见到上皮细胞和各种管型，表现基本同肾小球肾炎。作为公务员录用体检，各种肾炎均按不合格处理，故一般不再做进一步详查确定肾炎分类。</w:t>
      </w:r>
    </w:p>
    <w:p>
      <w:pPr>
        <w:adjustRightInd w:val="0"/>
        <w:snapToGrid w:val="0"/>
        <w:spacing w:line="500" w:lineRule="exact"/>
        <w:ind w:firstLine="420" w:firstLineChars="200"/>
      </w:pPr>
      <w:r>
        <w:t>9.2.4  慢性肾盂肾炎</w:t>
      </w:r>
    </w:p>
    <w:p>
      <w:pPr>
        <w:adjustRightInd w:val="0"/>
        <w:snapToGrid w:val="0"/>
        <w:spacing w:line="500" w:lineRule="exact"/>
        <w:ind w:firstLine="420" w:firstLineChars="200"/>
      </w:pPr>
      <w:r>
        <w:t>1）病史询问要点：有无急性肾盂肾炎病史，有无尿频、尿急等尿路刺激症状，有无低热、乏力、腰酸、腰痛等症状。</w:t>
      </w:r>
    </w:p>
    <w:p>
      <w:pPr>
        <w:adjustRightInd w:val="0"/>
        <w:snapToGrid w:val="0"/>
        <w:spacing w:line="500" w:lineRule="exact"/>
        <w:ind w:firstLine="420" w:firstLineChars="200"/>
      </w:pPr>
      <w:r>
        <w:t>2）查体要点：本病一般体征不明显。</w:t>
      </w:r>
    </w:p>
    <w:p>
      <w:pPr>
        <w:adjustRightInd w:val="0"/>
        <w:snapToGrid w:val="0"/>
        <w:spacing w:line="500" w:lineRule="exact"/>
        <w:ind w:firstLine="420" w:firstLineChars="200"/>
      </w:pPr>
      <w:r>
        <w:t>3）辅助检查要点：尿常规检查是最简便而可靠的检测方法，可见白细胞、蛋白尿，有的可见脓尿（白细胞＞5个/高倍视野）。腹部B超检查有时可见肾盂变形、积水，肾脏外形不光滑，或两肾大小明显不等。</w:t>
      </w:r>
    </w:p>
    <w:p>
      <w:pPr>
        <w:adjustRightInd w:val="0"/>
        <w:snapToGrid w:val="0"/>
        <w:spacing w:line="500" w:lineRule="exact"/>
        <w:ind w:firstLine="420" w:firstLineChars="200"/>
      </w:pPr>
      <w:r>
        <w:t>慢性肾盂肾炎的临床表现较为复杂，作为体检，对病史不可靠或泌尿系统症状不典型者，只要多次尿液检查均显示异常（以白细胞增多为主），B超检查提示肾脏有形态或梗阻性改变，即可作出临床诊断。</w:t>
      </w:r>
    </w:p>
    <w:p>
      <w:pPr>
        <w:adjustRightInd w:val="0"/>
        <w:snapToGrid w:val="0"/>
        <w:spacing w:line="500" w:lineRule="exact"/>
        <w:ind w:firstLine="420" w:firstLineChars="200"/>
      </w:pPr>
      <w:r>
        <w:t xml:space="preserve">9.2.5  多囊肾 </w:t>
      </w:r>
    </w:p>
    <w:p>
      <w:pPr>
        <w:adjustRightInd w:val="0"/>
        <w:snapToGrid w:val="0"/>
        <w:spacing w:line="500" w:lineRule="exact"/>
        <w:ind w:left="420"/>
      </w:pPr>
      <w:r>
        <w:t>1）病史询问要点：有无本病家族史，有无腰痛、血尿、尿路感染等症状。</w:t>
      </w:r>
    </w:p>
    <w:p>
      <w:pPr>
        <w:adjustRightInd w:val="0"/>
        <w:snapToGrid w:val="0"/>
        <w:spacing w:line="500" w:lineRule="exact"/>
        <w:ind w:firstLine="420" w:firstLineChars="200"/>
      </w:pPr>
      <w:r>
        <w:t>2）查体要点：注意有无高血压，多囊肾患者约半数有高血压，同时注意有无腹部或腰部包块。</w:t>
      </w:r>
    </w:p>
    <w:p>
      <w:pPr>
        <w:adjustRightInd w:val="0"/>
        <w:snapToGrid w:val="0"/>
        <w:spacing w:line="500" w:lineRule="exact"/>
        <w:ind w:firstLine="420" w:firstLineChars="200"/>
      </w:pPr>
      <w:r>
        <w:t>3）辅助检查要点：多囊肾诊断主要依据B超检查，可见肾轮廓增大，形态失常，肾实质内显示多个大小不等的无回声区，呈弥漫性分布，互不相通，常合并其他脏器病变，如多囊肝、多囊脾。</w:t>
      </w:r>
    </w:p>
    <w:p>
      <w:pPr>
        <w:adjustRightInd w:val="0"/>
        <w:snapToGrid w:val="0"/>
        <w:spacing w:line="500" w:lineRule="exact"/>
        <w:ind w:firstLine="420" w:firstLineChars="200"/>
      </w:pPr>
      <w: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adjustRightInd w:val="0"/>
        <w:snapToGrid w:val="0"/>
        <w:spacing w:line="500" w:lineRule="exact"/>
        <w:ind w:firstLine="420" w:firstLineChars="200"/>
      </w:pPr>
      <w:r>
        <w:t>9.2.6  肾功能不全</w:t>
      </w:r>
    </w:p>
    <w:p>
      <w:pPr>
        <w:adjustRightInd w:val="0"/>
        <w:snapToGrid w:val="0"/>
        <w:spacing w:line="500" w:lineRule="exact"/>
        <w:ind w:firstLine="420" w:firstLineChars="200"/>
      </w:pPr>
      <w: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adjustRightInd w:val="0"/>
        <w:snapToGrid w:val="0"/>
        <w:spacing w:line="500" w:lineRule="exact"/>
        <w:ind w:firstLine="420"/>
      </w:pPr>
      <w:r>
        <w:t>需要注意的是，慢性肾功能不全可以无明确病史，药物或化学物损害及中毒常被忽略。</w:t>
      </w:r>
    </w:p>
    <w:p>
      <w:pPr>
        <w:adjustRightInd w:val="0"/>
        <w:snapToGrid w:val="0"/>
        <w:spacing w:line="500" w:lineRule="exact"/>
        <w:ind w:firstLine="420" w:firstLineChars="200"/>
      </w:pPr>
      <w:r>
        <w:t>2）查体要点：体检中偶可发现肾功能不全，患者可无明显的不适和体征。查体时应特别注意有无贫血、高血压。</w:t>
      </w:r>
    </w:p>
    <w:p>
      <w:pPr>
        <w:adjustRightInd w:val="0"/>
        <w:snapToGrid w:val="0"/>
        <w:spacing w:line="500" w:lineRule="exact"/>
        <w:ind w:firstLine="420"/>
      </w:pPr>
      <w:r>
        <w:t xml:space="preserve">3）辅助检查要点：一般所说的肾功能是指肾小球的滤过功能。了解肾功能情况主要参考以下指标： </w:t>
      </w:r>
    </w:p>
    <w:p>
      <w:pPr>
        <w:adjustRightInd w:val="0"/>
        <w:snapToGrid w:val="0"/>
        <w:spacing w:line="500" w:lineRule="exact"/>
        <w:ind w:firstLine="420" w:firstLineChars="200"/>
      </w:pPr>
      <w:r>
        <w:t>①血肌酐、血尿素：血清肌酐因其分子量小，可以自由地通过肾小球基底膜，而肾小管很少吸收，故几乎完全从尿中排出，同时肌酐受饮食的影响小，所以血清肌酐值升高可以初步反映肾小球的滤过功能；血尿素易受尿量和饮食影响，当饮水量减少或/和饮食中蛋白质过多时可暂时性增高，而在肾功能不全的早期不一定升高，故虽可作为判断肾小球功能的指标，但不如血肌酐准确。</w:t>
      </w:r>
    </w:p>
    <w:p>
      <w:pPr>
        <w:adjustRightInd w:val="0"/>
        <w:snapToGrid w:val="0"/>
        <w:spacing w:line="500" w:lineRule="exact"/>
        <w:ind w:firstLine="420" w:firstLineChars="200"/>
      </w:pPr>
      <w:r>
        <w:t>②肌酐清除率：是指每分钟被肾脏清除的肌酐的血浆量，其计算公式是：肌酐清除率=尿肌酐×每分钟尿量（毫升）/血肌酐。由于肌酐清除率与肾小球的滤过率相近似，可基本反映肾小球的滤过功能，故一般可用肌酐清除率代表肾小球滤过率。</w:t>
      </w:r>
    </w:p>
    <w:p>
      <w:pPr>
        <w:adjustRightInd w:val="0"/>
        <w:snapToGrid w:val="0"/>
        <w:spacing w:line="500" w:lineRule="exact"/>
        <w:ind w:firstLine="420" w:firstLineChars="200"/>
      </w:pPr>
      <w:r>
        <w:t>③血红蛋白、红细胞：慢性肾功能衰竭患者的贫血反映了肾实质损伤。</w:t>
      </w:r>
    </w:p>
    <w:p>
      <w:pPr>
        <w:adjustRightInd w:val="0"/>
        <w:snapToGrid w:val="0"/>
        <w:spacing w:line="500" w:lineRule="exact"/>
        <w:ind w:firstLine="420" w:firstLineChars="200"/>
      </w:pPr>
      <w:r>
        <w:t>④尿常规：应特别注意管型及尿相对密度，因为尿相对密度是检查肾小管功能的重要指标，能够直接反映肾脏的浓缩功能。</w:t>
      </w:r>
    </w:p>
    <w:p>
      <w:pPr>
        <w:adjustRightInd w:val="0"/>
        <w:snapToGrid w:val="0"/>
        <w:spacing w:line="500" w:lineRule="exact"/>
        <w:ind w:firstLine="420" w:firstLineChars="200"/>
      </w:pPr>
      <w:r>
        <w:t>⑤B超：慢性肾功能衰竭的声像图特点为肾脏缩小，肾包膜皱缩，肾实质回声增强、变薄。一般情况下，肾脏萎缩越明显，说明肾功能越差。</w:t>
      </w:r>
    </w:p>
    <w:p>
      <w:pPr>
        <w:adjustRightInd w:val="0"/>
        <w:snapToGrid w:val="0"/>
        <w:spacing w:line="500" w:lineRule="exact"/>
        <w:ind w:firstLine="420" w:firstLineChars="200"/>
      </w:pPr>
      <w:r>
        <w:t>⑥胱抑素C：是检测肾功能的良好标志物，不受诸多生理病理因素的影响。</w:t>
      </w:r>
    </w:p>
    <w:p>
      <w:pPr>
        <w:adjustRightInd w:val="0"/>
        <w:snapToGrid w:val="0"/>
        <w:spacing w:line="500" w:lineRule="exact"/>
        <w:ind w:firstLine="411" w:firstLineChars="196"/>
      </w:pPr>
      <w:r>
        <w:t>肾功能不全一般根据血肌酐升高只能初步作出判断，需进一步检查，特别是应检查肌酐清除率等指标。若血肌酐和肌酐清除率均异常时，才可以诊断肾功能不全。其他指标如尿常规、血红蛋白、肾脏超声、胱抑素C等异常的项目越多，越支持肾功能不全的诊断。</w:t>
      </w:r>
    </w:p>
    <w:p>
      <w:pPr>
        <w:adjustRightInd w:val="0"/>
        <w:snapToGrid w:val="0"/>
        <w:spacing w:line="500" w:lineRule="exact"/>
        <w:rPr>
          <w:rFonts w:hint="eastAsia" w:ascii="宋体" w:hAnsi="宋体" w:cs="宋体"/>
          <w:b/>
          <w:bCs/>
        </w:rPr>
      </w:pPr>
      <w:r>
        <w:rPr>
          <w:rFonts w:hint="eastAsia" w:eastAsia="黑体"/>
          <w:b/>
          <w:bCs/>
        </w:rPr>
        <w:t xml:space="preserve">   </w:t>
      </w:r>
      <w:r>
        <w:rPr>
          <w:rFonts w:hint="eastAsia" w:ascii="宋体" w:hAnsi="宋体" w:cs="宋体"/>
          <w:b/>
          <w:bCs/>
        </w:rPr>
        <w:t xml:space="preserve"> 9.3  注意事项</w:t>
      </w:r>
    </w:p>
    <w:p>
      <w:pPr>
        <w:adjustRightInd w:val="0"/>
        <w:snapToGrid w:val="0"/>
        <w:spacing w:line="500" w:lineRule="exact"/>
        <w:ind w:firstLine="420" w:firstLineChars="200"/>
      </w:pPr>
      <w: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如果仅以临床诊断为依据即可作出结论者，一般不必进行肾穿刺等侵袭性检查。</w:t>
      </w:r>
    </w:p>
    <w:p>
      <w:pPr>
        <w:adjustRightInd w:val="0"/>
        <w:snapToGrid w:val="0"/>
        <w:spacing w:line="500" w:lineRule="exact"/>
        <w:ind w:firstLine="420" w:firstLineChars="200"/>
      </w:pPr>
      <w: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不引起肾功能进行性损害及无泌尿系统梗阻、感染等并发症，可视为体检合格。</w:t>
      </w:r>
    </w:p>
    <w:p>
      <w:pPr>
        <w:adjustRightInd w:val="0"/>
        <w:snapToGrid w:val="0"/>
        <w:spacing w:line="500" w:lineRule="exact"/>
        <w:ind w:firstLine="420" w:firstLineChars="200"/>
      </w:pPr>
      <w:r>
        <w:t>9.3.3  关于肾移植手术  尿毒症晚期通过肾移植手术虽可使肾功能恢复正常，但肾移植术后需要长期应用药物抵抗排斥反应，治疗费用昂贵，须经常到医院随诊复检，且预后不好，故应按体检不合格处理。透析维持治疗者也应同样处理。</w:t>
      </w:r>
    </w:p>
    <w:p>
      <w:pPr>
        <w:adjustRightInd w:val="0"/>
        <w:snapToGrid w:val="0"/>
        <w:spacing w:line="500" w:lineRule="exact"/>
        <w:ind w:firstLine="420" w:firstLineChars="200"/>
      </w:pPr>
      <w:r>
        <w:t>9.3.4  关于IgA肾病  IgA肾病是指肾小球系膜区以IgA或IgA沉淀为主的原发性肾小球疾病，是肾小球源性血尿最常见的病因，也是我国常见的肾小球疾病，并成为终末期肾脏病的重要病因之一。IgA肾病的病理变化多种多样，可涉及增生性肾小球肾炎几乎所有的病理类型，病变程度可轻重不一，主要病理类型为系膜增生性肾小球肾炎。所以，IgA肾病本身就属于肾炎的范畴，按照体检标准第九条规定，肾炎，不合格，故IgA肾病也属体检不合格。</w:t>
      </w:r>
    </w:p>
    <w:p>
      <w:pPr>
        <w:adjustRightInd w:val="0"/>
        <w:snapToGrid w:val="0"/>
        <w:spacing w:line="500" w:lineRule="exact"/>
        <w:ind w:firstLine="420" w:firstLineChars="200"/>
      </w:pPr>
      <w:r>
        <w:t>9.3.5  关于无症状蛋白尿  无症状蛋白尿既可见于病理性，也可见于生理性。一般来说，病理性蛋白尿的特点为尿蛋白量明显增多，尿蛋白持续阳性，可见于各种急慢性肾小球肾炎、肾盂肾炎、糖尿病肾病、狼疮性肾炎、放射性肾炎及肾内其他炎性病变、多发性骨髓瘤、肾功能衰竭、肾移植术后等，属不合格。</w:t>
      </w:r>
    </w:p>
    <w:p>
      <w:pPr>
        <w:adjustRightInd w:val="0"/>
        <w:snapToGrid w:val="0"/>
        <w:spacing w:line="500" w:lineRule="exact"/>
        <w:ind w:firstLine="420" w:firstLineChars="200"/>
      </w:pPr>
      <w:r>
        <w:t>而生理性（包括功能性和体位性）蛋白尿的特点为尿蛋白定性试验一般不超过+，且多为暂时性，通常发生于剧烈运动、进食高蛋白饮食后、精神紧张、寒冷、发热等，这种蛋白尿并不反映肾脏有实质性病变，因此不能作为肾脏疾病看待。</w:t>
      </w:r>
    </w:p>
    <w:p>
      <w:pPr>
        <w:adjustRightInd w:val="0"/>
        <w:snapToGrid w:val="0"/>
        <w:spacing w:line="500" w:lineRule="exact"/>
        <w:ind w:firstLine="420" w:firstLineChars="200"/>
      </w:pPr>
      <w:r>
        <w:t>对尿蛋白阳</w:t>
      </w:r>
      <w:r>
        <w:rPr>
          <w:rFonts w:hint="eastAsia"/>
        </w:rPr>
        <w:t>性</w:t>
      </w:r>
      <w:r>
        <w:t>者，应先在本院进行复查，并告知考生留尿前注意事项，特别是嘱考生复</w:t>
      </w:r>
      <w:r>
        <w:rPr>
          <w:bCs/>
        </w:rPr>
        <w:t>查</w:t>
      </w:r>
      <w:r>
        <w:t>前三天不要剧烈运动及高蛋白饮食，避开感冒发热、到体检机构后待身体暖和一些后再留取尿标本，并根据考录机关要求，尽可能延长复</w:t>
      </w:r>
      <w:r>
        <w:rPr>
          <w:bCs/>
        </w:rPr>
        <w:t>查间</w:t>
      </w:r>
      <w:r>
        <w:t>期。采取上述措施后如仍为蛋白尿，就需要到肾内科做进一步检查，常见的是做尿蛋白定量和尿蛋白电泳，以区分尿蛋白性质。对于尿蛋白定量小于1.0g/d，以白蛋白为主而无血尿者，称为单纯性蛋白尿，一般预后良好，很少发生肾功能损伤，可作合格结论，反之，则属不合格。</w:t>
      </w:r>
    </w:p>
    <w:p>
      <w:pPr>
        <w:adjustRightInd w:val="0"/>
        <w:snapToGrid w:val="0"/>
        <w:spacing w:line="500" w:lineRule="exact"/>
        <w:ind w:firstLine="420" w:firstLineChars="200"/>
      </w:pPr>
      <w:r>
        <w:t>9.3.6  关于镜下血尿  约98%的血尿是由泌尿系统疾病引起，2%的血尿由全身性疾病或泌尿系统邻近器官病变所致。此外，女性月经期间易将经血混入尿中，也可导致尿红细胞增多，需注意区别。一般而言，对真正的镜下血尿首先要做相差显微镜检查，如镜下红细胞大小不一、形态多样，为肾小球性血尿，见于肾小球性肾炎，不合格；如镜下红细胞形态单一，与外周血近似，为均一型血尿，提示血尿来源于肾后，见于肾盂肾盏、输尿管、膀胱和前列腺等部位的病变（如尿路感染、结石、结核及肿瘤等），需具体分析，根据病变性质作出结论。</w:t>
      </w:r>
      <w:bookmarkStart w:id="23" w:name="_Toc391888333"/>
    </w:p>
    <w:p>
      <w:pPr>
        <w:adjustRightInd w:val="0"/>
        <w:snapToGrid w:val="0"/>
        <w:spacing w:line="500" w:lineRule="exact"/>
        <w:ind w:firstLine="420" w:firstLineChars="200"/>
      </w:pPr>
    </w:p>
    <w:bookmarkEnd w:id="23"/>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10  关于内分泌系统疾病</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第十条  糖尿病、尿崩症、肢端肥大症等内分泌系统疾病，不合格。甲状腺功能亢进治愈后1年无症状和体征者，合格。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10.1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4）其他类型的甲亢：如垂体性甲亢，是由于垂体肿瘤分泌过多TSH所致，比较少见；异位性TSH综合征，如绒毛膜癌、葡萄胎、支气管癌和直肠癌等均可分泌TSH样物质而引起甲亢。上述情况均不合格。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10.2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10.2.1  糖尿病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注意有无糖尿病的典型症状，如多饮、多尿、多食、体重减轻等，有无经常感染的病史。</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2）查体要点：早期病例大多无体征，故查体在糖尿病诊断中价值有限。</w:t>
      </w:r>
    </w:p>
    <w:p>
      <w:pPr>
        <w:adjustRightInd w:val="0"/>
        <w:snapToGrid w:val="0"/>
        <w:spacing w:line="500" w:lineRule="exact"/>
        <w:ind w:firstLine="420" w:firstLineChars="200"/>
      </w:pPr>
      <w:r>
        <w:rPr>
          <w:rFonts w:hint="eastAsia" w:ascii="宋体" w:hAnsi="宋体" w:cs="宋体"/>
          <w:kern w:val="0"/>
          <w:szCs w:val="21"/>
        </w:rPr>
        <w:t>3）辅助检查要点：</w:t>
      </w:r>
      <w:r>
        <w:t>确立诊断主要依靠实验室检查。静脉血糖检测是诊断糖尿病的关键。一般作空腹血糖检测，采集静脉血前受检者应空腹8-10小时。具体判定标准如下：</w:t>
      </w:r>
    </w:p>
    <w:p>
      <w:pPr>
        <w:adjustRightInd w:val="0"/>
        <w:snapToGrid w:val="0"/>
        <w:spacing w:line="500" w:lineRule="exact"/>
        <w:ind w:firstLine="420" w:firstLineChars="200"/>
      </w:pPr>
      <w:r>
        <w:t xml:space="preserve">空腹血糖≥7.0 </w:t>
      </w:r>
      <w:r>
        <w:rPr>
          <w:rFonts w:hint="eastAsia"/>
        </w:rPr>
        <w:t>mm</w:t>
      </w:r>
      <w:r>
        <w:t xml:space="preserve">ol/L，经择日复检仍≥7.0 </w:t>
      </w:r>
      <w:r>
        <w:rPr>
          <w:rFonts w:hint="eastAsia"/>
        </w:rPr>
        <w:t>mm</w:t>
      </w:r>
      <w:r>
        <w:t>ol/L者，可诊断糖尿病，</w:t>
      </w:r>
      <w:r>
        <w:rPr>
          <w:bCs/>
        </w:rPr>
        <w:t>并作出不合格结论。</w:t>
      </w:r>
    </w:p>
    <w:p>
      <w:pPr>
        <w:adjustRightInd w:val="0"/>
        <w:snapToGrid w:val="0"/>
        <w:spacing w:line="500" w:lineRule="exact"/>
        <w:ind w:firstLine="420" w:firstLineChars="200"/>
        <w:rPr>
          <w:bCs/>
        </w:rPr>
      </w:pPr>
      <w:r>
        <w:t xml:space="preserve">空腹血糖＞6.1～6.9 </w:t>
      </w:r>
      <w:r>
        <w:rPr>
          <w:rFonts w:hint="eastAsia"/>
        </w:rPr>
        <w:t>mm</w:t>
      </w:r>
      <w:r>
        <w:t xml:space="preserve">ol/L，应加做75克口服葡萄糖耐量试验进一步确诊，若餐后2小时血糖（2hPG）≥11.1 </w:t>
      </w:r>
      <w:r>
        <w:rPr>
          <w:rFonts w:hint="eastAsia"/>
        </w:rPr>
        <w:t>mm</w:t>
      </w:r>
      <w:r>
        <w:t>ol/L，可诊断糖尿病，</w:t>
      </w:r>
      <w:r>
        <w:rPr>
          <w:bCs/>
        </w:rPr>
        <w:t>并作出不合格结论。</w:t>
      </w:r>
    </w:p>
    <w:p>
      <w:pPr>
        <w:adjustRightInd w:val="0"/>
        <w:snapToGrid w:val="0"/>
        <w:spacing w:line="500" w:lineRule="exact"/>
        <w:ind w:firstLine="420" w:firstLineChars="200"/>
        <w:rPr>
          <w:bCs/>
        </w:rPr>
      </w:pPr>
      <w:r>
        <w:rPr>
          <w:bCs/>
        </w:rPr>
        <w:t>对</w:t>
      </w:r>
      <w:r>
        <w:t xml:space="preserve">空腹血糖＞6.1～6.9 </w:t>
      </w:r>
      <w:r>
        <w:rPr>
          <w:rFonts w:hint="eastAsia"/>
        </w:rPr>
        <w:t>mm</w:t>
      </w:r>
      <w:r>
        <w:t xml:space="preserve">ol/L，2hPG＜11.1 </w:t>
      </w:r>
      <w:r>
        <w:rPr>
          <w:rFonts w:hint="eastAsia"/>
        </w:rPr>
        <w:t>mm</w:t>
      </w:r>
      <w:r>
        <w:t>ol/L，属糖尿病前期，作合格结论。</w:t>
      </w:r>
    </w:p>
    <w:p>
      <w:pPr>
        <w:adjustRightInd w:val="0"/>
        <w:snapToGrid w:val="0"/>
        <w:spacing w:line="500" w:lineRule="exact"/>
        <w:jc w:val="center"/>
        <w:rPr>
          <w:bCs/>
        </w:rPr>
      </w:pPr>
      <w:r>
        <w:rPr>
          <w:bCs/>
        </w:rPr>
        <w:t>糖代谢状态分类（WHO 1999）</w:t>
      </w:r>
    </w:p>
    <w:p>
      <w:pPr>
        <w:adjustRightInd w:val="0"/>
        <w:snapToGrid w:val="0"/>
        <w:spacing w:line="360" w:lineRule="exact"/>
        <w:ind w:firstLine="420" w:firstLineChars="200"/>
        <w:rPr>
          <w:bCs/>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2408"/>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30" w:type="dxa"/>
            <w:tcBorders>
              <w:top w:val="single" w:color="auto" w:sz="6" w:space="0"/>
              <w:left w:val="nil"/>
              <w:bottom w:val="single" w:color="auto" w:sz="6" w:space="0"/>
              <w:right w:val="nil"/>
            </w:tcBorders>
            <w:noWrap w:val="0"/>
            <w:vAlign w:val="center"/>
          </w:tcPr>
          <w:p>
            <w:pPr>
              <w:adjustRightInd w:val="0"/>
              <w:snapToGrid w:val="0"/>
              <w:spacing w:line="360" w:lineRule="exact"/>
              <w:jc w:val="center"/>
            </w:pPr>
            <w:r>
              <w:rPr>
                <w:bCs/>
              </w:rPr>
              <w:t>糖代谢分类</w:t>
            </w:r>
          </w:p>
        </w:tc>
        <w:tc>
          <w:tcPr>
            <w:tcW w:w="5998" w:type="dxa"/>
            <w:gridSpan w:val="2"/>
            <w:tcBorders>
              <w:top w:val="single" w:color="auto" w:sz="6" w:space="0"/>
              <w:left w:val="nil"/>
              <w:bottom w:val="single" w:color="auto" w:sz="6" w:space="0"/>
              <w:right w:val="nil"/>
            </w:tcBorders>
            <w:noWrap w:val="0"/>
            <w:vAlign w:val="top"/>
          </w:tcPr>
          <w:p>
            <w:pPr>
              <w:adjustRightInd w:val="0"/>
              <w:snapToGrid w:val="0"/>
              <w:spacing w:line="360" w:lineRule="exact"/>
              <w:jc w:val="center"/>
            </w:pPr>
            <w:r>
              <w:rPr>
                <w:bCs/>
              </w:rPr>
              <w:t>静脉血浆葡萄糖（</w:t>
            </w:r>
            <w:r>
              <w:rPr>
                <w:rFonts w:hint="eastAsia"/>
                <w:bCs/>
              </w:rPr>
              <w:t>mm</w:t>
            </w:r>
            <w:r>
              <w:rPr>
                <w:bCs/>
              </w:rPr>
              <w:t>ol/L）</w:t>
            </w:r>
          </w:p>
          <w:p>
            <w:pPr>
              <w:adjustRightInd w:val="0"/>
              <w:snapToGrid w:val="0"/>
              <w:spacing w:line="360" w:lineRule="exact"/>
              <w:ind w:firstLine="411" w:firstLineChars="196"/>
            </w:pPr>
            <w:r>
              <w:rPr>
                <w:bCs/>
              </w:rPr>
              <w:t>空腹血糖(FPG)          糖负荷后2小时血糖(2hPG)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2030" w:type="dxa"/>
            <w:tcBorders>
              <w:top w:val="single" w:color="auto" w:sz="6" w:space="0"/>
              <w:left w:val="nil"/>
              <w:bottom w:val="single" w:color="auto" w:sz="8" w:space="0"/>
              <w:right w:val="nil"/>
            </w:tcBorders>
            <w:noWrap w:val="0"/>
            <w:vAlign w:val="top"/>
          </w:tcPr>
          <w:p>
            <w:pPr>
              <w:adjustRightInd w:val="0"/>
              <w:snapToGrid w:val="0"/>
              <w:spacing w:line="360" w:lineRule="exact"/>
            </w:pPr>
            <w:r>
              <w:rPr>
                <w:bCs/>
              </w:rPr>
              <w:t>正常血糖(NGR)</w:t>
            </w:r>
          </w:p>
          <w:p>
            <w:pPr>
              <w:adjustRightInd w:val="0"/>
              <w:snapToGrid w:val="0"/>
              <w:spacing w:line="360" w:lineRule="exact"/>
            </w:pPr>
            <w:r>
              <w:rPr>
                <w:bCs/>
              </w:rPr>
              <w:t>空腹血糖受损(IFG)</w:t>
            </w:r>
          </w:p>
          <w:p>
            <w:pPr>
              <w:adjustRightInd w:val="0"/>
              <w:snapToGrid w:val="0"/>
              <w:spacing w:line="360" w:lineRule="exact"/>
            </w:pPr>
            <w:r>
              <w:rPr>
                <w:bCs/>
              </w:rPr>
              <w:t>糖耐量减低(IGT)</w:t>
            </w:r>
          </w:p>
          <w:p>
            <w:pPr>
              <w:adjustRightInd w:val="0"/>
              <w:snapToGrid w:val="0"/>
              <w:spacing w:line="360" w:lineRule="exact"/>
            </w:pPr>
            <w:r>
              <w:rPr>
                <w:bCs/>
              </w:rPr>
              <w:t>糖尿病（D</w:t>
            </w:r>
            <w:r>
              <w:rPr>
                <w:rFonts w:hint="eastAsia"/>
                <w:bCs/>
              </w:rPr>
              <w:t>M</w:t>
            </w:r>
            <w:r>
              <w:rPr>
                <w:bCs/>
              </w:rPr>
              <w:t>）</w:t>
            </w:r>
          </w:p>
        </w:tc>
        <w:tc>
          <w:tcPr>
            <w:tcW w:w="2408" w:type="dxa"/>
            <w:tcBorders>
              <w:top w:val="single" w:color="auto" w:sz="6" w:space="0"/>
              <w:left w:val="nil"/>
              <w:bottom w:val="single" w:color="auto" w:sz="8" w:space="0"/>
              <w:right w:val="nil"/>
            </w:tcBorders>
            <w:noWrap w:val="0"/>
            <w:vAlign w:val="top"/>
          </w:tcPr>
          <w:p>
            <w:pPr>
              <w:adjustRightInd w:val="0"/>
              <w:snapToGrid w:val="0"/>
              <w:spacing w:line="360" w:lineRule="exact"/>
              <w:ind w:firstLine="420" w:firstLineChars="200"/>
            </w:pPr>
            <w:r>
              <w:rPr>
                <w:bCs/>
              </w:rPr>
              <w:t>≤6.1</w:t>
            </w:r>
          </w:p>
          <w:p>
            <w:pPr>
              <w:adjustRightInd w:val="0"/>
              <w:snapToGrid w:val="0"/>
              <w:spacing w:line="360" w:lineRule="exact"/>
              <w:ind w:firstLine="420" w:firstLineChars="200"/>
            </w:pPr>
            <w:r>
              <w:rPr>
                <w:bCs/>
              </w:rPr>
              <w:t>＞6.1-＜7.0</w:t>
            </w:r>
          </w:p>
          <w:p>
            <w:pPr>
              <w:adjustRightInd w:val="0"/>
              <w:snapToGrid w:val="0"/>
              <w:spacing w:line="360" w:lineRule="exact"/>
              <w:ind w:firstLine="420" w:firstLineChars="200"/>
            </w:pPr>
            <w:r>
              <w:rPr>
                <w:bCs/>
              </w:rPr>
              <w:t>＜7.0</w:t>
            </w:r>
          </w:p>
          <w:p>
            <w:pPr>
              <w:adjustRightInd w:val="0"/>
              <w:snapToGrid w:val="0"/>
              <w:spacing w:line="360" w:lineRule="exact"/>
              <w:ind w:firstLine="420" w:firstLineChars="200"/>
            </w:pPr>
            <w:r>
              <w:rPr>
                <w:bCs/>
              </w:rPr>
              <w:t>≥7.0</w:t>
            </w:r>
          </w:p>
        </w:tc>
        <w:tc>
          <w:tcPr>
            <w:tcW w:w="3590" w:type="dxa"/>
            <w:tcBorders>
              <w:top w:val="single" w:color="auto" w:sz="6" w:space="0"/>
              <w:left w:val="nil"/>
              <w:bottom w:val="single" w:color="auto" w:sz="8" w:space="0"/>
              <w:right w:val="nil"/>
            </w:tcBorders>
            <w:noWrap w:val="0"/>
            <w:vAlign w:val="top"/>
          </w:tcPr>
          <w:p>
            <w:pPr>
              <w:adjustRightInd w:val="0"/>
              <w:snapToGrid w:val="0"/>
              <w:spacing w:line="360" w:lineRule="exact"/>
              <w:ind w:firstLine="420" w:firstLineChars="200"/>
            </w:pPr>
            <w:r>
              <w:rPr>
                <w:bCs/>
              </w:rPr>
              <w:t>＜7.8</w:t>
            </w:r>
          </w:p>
          <w:p>
            <w:pPr>
              <w:adjustRightInd w:val="0"/>
              <w:snapToGrid w:val="0"/>
              <w:spacing w:line="360" w:lineRule="exact"/>
              <w:ind w:firstLine="420" w:firstLineChars="200"/>
            </w:pPr>
            <w:r>
              <w:rPr>
                <w:bCs/>
              </w:rPr>
              <w:t>＜7.8</w:t>
            </w:r>
          </w:p>
          <w:p>
            <w:pPr>
              <w:adjustRightInd w:val="0"/>
              <w:snapToGrid w:val="0"/>
              <w:spacing w:line="360" w:lineRule="exact"/>
              <w:ind w:firstLine="420" w:firstLineChars="200"/>
            </w:pPr>
            <w:r>
              <w:rPr>
                <w:bCs/>
              </w:rPr>
              <w:t>7.8-＜11.1</w:t>
            </w:r>
          </w:p>
          <w:p>
            <w:pPr>
              <w:adjustRightInd w:val="0"/>
              <w:snapToGrid w:val="0"/>
              <w:spacing w:line="360" w:lineRule="exact"/>
              <w:ind w:firstLine="420" w:firstLineChars="200"/>
            </w:pPr>
            <w:r>
              <w:rPr>
                <w:bCs/>
              </w:rPr>
              <w:t>≥11.1</w:t>
            </w:r>
          </w:p>
        </w:tc>
      </w:tr>
    </w:tbl>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10.2.2  尿崩症</w:t>
      </w:r>
    </w:p>
    <w:p>
      <w:pPr>
        <w:spacing w:line="500" w:lineRule="exact"/>
        <w:jc w:val="left"/>
        <w:rPr>
          <w:rFonts w:hint="eastAsia"/>
        </w:rPr>
      </w:pPr>
      <w:r>
        <w:rPr>
          <w:rFonts w:hint="eastAsia"/>
        </w:rPr>
        <w:t xml:space="preserve">    1）病史询问要点：有无多饮、烦渴、多尿（每天尿量常多于4 L）、尿色浅淡如水，有无体重减轻、头痛、视力减退、视野缺损等症状。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2）查体要点：除皮肤可见干燥外，一般无明显阳性体征。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3）辅助检查要点：诊断主要依据病史、症状和实验室检查。作为体检，尿相对密度检查是最重要的诊断依据，一般尿相对密度持续小于1.005时可以确立诊断。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10.2.3  肢端肥大症</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1）病史询问要点：特殊体貌的发生发展史，有无头痛、呕吐、视力减退、视野缺损、多饮、多尿、睡眠异常等症状。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本病主要表现为肢体末端增大，特别是在面部、手、脚，如高颧大鼻、牙疏舌大、反咬合、指趾粗短、手足背宽厚、脚大等。随疾病发展，有时还可见其他改变，如心脏增大、血压增高、动脉硬化、肝脏增大等。</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3）辅助检查要点：对临床表现不典型者，必要时可加做其他检查，如血浆生长激素浓度测定、影像学检查（X线或CT、MRI，观察有无蝶鞍扩大、鞍床骨质破坏等征象），以明确诊断。</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10.2.4  甲状腺功能亢进</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1）病史询问要点：有无甲状腺结节等既往史，有无机体高代谢的症状，如心悸、多汗、怕热、多吃、消瘦、兴奋、失眠及性格改变等。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高功能性甲状腺腺瘤的局部表现同一般甲状腺腺瘤，多为甲状腺单发结节，实质感，表面光滑，边缘清楚，可随吞咽活动，无震颤和血管杂音，颈部淋巴结不大。</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3）辅助检查要点：对于有上述临床症状，特别是有可疑甲亢症状和体征者，应常规做TSH、游离三碘甲状腺原氨酸（FT</w:t>
      </w:r>
      <w:r>
        <w:rPr>
          <w:rFonts w:hint="eastAsia" w:ascii="宋体" w:hAnsi="宋体" w:cs="宋体"/>
          <w:kern w:val="0"/>
          <w:szCs w:val="21"/>
          <w:vertAlign w:val="subscript"/>
        </w:rPr>
        <w:t>3</w:t>
      </w:r>
      <w:r>
        <w:rPr>
          <w:rFonts w:hint="eastAsia" w:ascii="宋体" w:hAnsi="宋体" w:cs="宋体"/>
          <w:kern w:val="0"/>
          <w:szCs w:val="21"/>
        </w:rPr>
        <w:t>）、游离甲状腺素（FT</w:t>
      </w:r>
      <w:r>
        <w:rPr>
          <w:rFonts w:hint="eastAsia" w:ascii="宋体" w:hAnsi="宋体" w:cs="宋体"/>
          <w:kern w:val="0"/>
          <w:szCs w:val="21"/>
          <w:vertAlign w:val="subscript"/>
        </w:rPr>
        <w:t>4</w:t>
      </w:r>
      <w:r>
        <w:rPr>
          <w:rFonts w:hint="eastAsia" w:ascii="宋体" w:hAnsi="宋体" w:cs="宋体"/>
          <w:kern w:val="0"/>
          <w:szCs w:val="21"/>
        </w:rPr>
        <w:t>）等甲状腺功能检查，以明确诊断。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Cs w:val="21"/>
          <w:vertAlign w:val="subscript"/>
        </w:rPr>
        <w:t>3</w:t>
      </w:r>
      <w:r>
        <w:rPr>
          <w:rFonts w:hint="eastAsia" w:ascii="宋体" w:hAnsi="宋体" w:cs="宋体"/>
          <w:kern w:val="0"/>
          <w:szCs w:val="21"/>
        </w:rPr>
        <w:t>、FT</w:t>
      </w:r>
      <w:r>
        <w:rPr>
          <w:rFonts w:hint="eastAsia" w:ascii="宋体" w:hAnsi="宋体" w:cs="宋体"/>
          <w:kern w:val="0"/>
          <w:szCs w:val="21"/>
          <w:vertAlign w:val="subscript"/>
        </w:rPr>
        <w:t>4</w:t>
      </w:r>
      <w:r>
        <w:rPr>
          <w:rFonts w:hint="eastAsia" w:ascii="宋体" w:hAnsi="宋体" w:cs="宋体"/>
          <w:kern w:val="0"/>
          <w:szCs w:val="21"/>
        </w:rPr>
        <w:t>水平升高（特别是FT</w:t>
      </w:r>
      <w:r>
        <w:rPr>
          <w:rFonts w:hint="eastAsia" w:ascii="宋体" w:hAnsi="宋体" w:cs="宋体"/>
          <w:kern w:val="0"/>
          <w:szCs w:val="21"/>
          <w:vertAlign w:val="subscript"/>
        </w:rPr>
        <w:t>3</w:t>
      </w:r>
      <w:r>
        <w:rPr>
          <w:rFonts w:hint="eastAsia" w:ascii="宋体" w:hAnsi="宋体" w:cs="宋体"/>
          <w:kern w:val="0"/>
          <w:szCs w:val="21"/>
        </w:rPr>
        <w:t>升高）对诊断也有帮助，因本病易表现为T</w:t>
      </w:r>
      <w:r>
        <w:rPr>
          <w:rFonts w:hint="eastAsia" w:ascii="宋体" w:hAnsi="宋体" w:cs="宋体"/>
          <w:kern w:val="0"/>
          <w:szCs w:val="21"/>
          <w:vertAlign w:val="subscript"/>
        </w:rPr>
        <w:t>3</w:t>
      </w:r>
      <w:r>
        <w:rPr>
          <w:rFonts w:hint="eastAsia" w:ascii="宋体" w:hAnsi="宋体" w:cs="宋体"/>
          <w:kern w:val="0"/>
          <w:szCs w:val="21"/>
        </w:rPr>
        <w:t>型甲亢。</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10.3  注意事项</w:t>
      </w:r>
    </w:p>
    <w:p>
      <w:pPr>
        <w:adjustRightInd w:val="0"/>
        <w:snapToGrid w:val="0"/>
        <w:spacing w:line="500" w:lineRule="exact"/>
        <w:rPr>
          <w:rFonts w:hint="eastAsia" w:ascii="宋体" w:hAnsi="宋体" w:cs="宋体"/>
          <w:bCs/>
        </w:rPr>
      </w:pPr>
      <w:r>
        <w:rPr>
          <w:rFonts w:hint="eastAsia" w:ascii="宋体" w:hAnsi="宋体" w:cs="宋体"/>
        </w:rPr>
        <w:t xml:space="preserve">10.3.1  </w:t>
      </w:r>
      <w:r>
        <w:rPr>
          <w:rFonts w:hint="eastAsia" w:ascii="宋体" w:hAnsi="宋体" w:cs="宋体"/>
          <w:bCs/>
        </w:rPr>
        <w:t>体检中糖尿病的诊断主要依据化验结果。因血糖可以在糖尿病治疗过程中达到</w:t>
      </w:r>
      <w:r>
        <w:rPr>
          <w:rFonts w:hint="eastAsia" w:ascii="宋体" w:hAnsi="宋体" w:cs="宋体"/>
        </w:rPr>
        <w:t>正常，</w:t>
      </w:r>
      <w:r>
        <w:rPr>
          <w:rFonts w:hint="eastAsia" w:ascii="宋体" w:hAnsi="宋体" w:cs="宋体"/>
          <w:bCs/>
        </w:rPr>
        <w:t>故病史必须由受检者本人签字负责。</w:t>
      </w:r>
    </w:p>
    <w:p>
      <w:pPr>
        <w:adjustRightInd w:val="0"/>
        <w:snapToGrid w:val="0"/>
        <w:spacing w:line="500" w:lineRule="exact"/>
        <w:rPr>
          <w:rFonts w:hint="eastAsia" w:ascii="宋体" w:hAnsi="宋体" w:cs="宋体"/>
        </w:rPr>
      </w:pPr>
      <w:r>
        <w:rPr>
          <w:rFonts w:hint="eastAsia" w:ascii="宋体" w:hAnsi="宋体" w:cs="宋体"/>
        </w:rPr>
        <w:t>10.3.2  尿糖不能作为诊断</w:t>
      </w:r>
      <w:r>
        <w:rPr>
          <w:rFonts w:hint="eastAsia" w:ascii="宋体" w:hAnsi="宋体" w:cs="宋体"/>
          <w:bCs/>
        </w:rPr>
        <w:t>糖尿病的</w:t>
      </w:r>
      <w:r>
        <w:rPr>
          <w:rFonts w:hint="eastAsia" w:ascii="宋体" w:hAnsi="宋体" w:cs="宋体"/>
        </w:rPr>
        <w:t>依据。尿糖阳性而空腹血糖及餐后血糖正常，可诊断为肾性糖尿。先天性肾性糖尿，合格；肾脏疾病所致肾性糖尿，不合格。</w:t>
      </w:r>
    </w:p>
    <w:p>
      <w:pPr>
        <w:adjustRightInd w:val="0"/>
        <w:snapToGrid w:val="0"/>
        <w:spacing w:line="500" w:lineRule="exact"/>
        <w:rPr>
          <w:rFonts w:hint="eastAsia" w:ascii="宋体" w:hAnsi="宋体" w:cs="宋体"/>
        </w:rPr>
      </w:pPr>
      <w:r>
        <w:rPr>
          <w:rFonts w:hint="eastAsia" w:ascii="宋体" w:hAnsi="宋体" w:cs="宋体"/>
        </w:rPr>
        <w:t>10.3.3  本《手册》将空腹血糖受损（IFG）的界限值定为＞6.1～6.9 mmol/L，在此范围内应做75克口服葡萄糖耐量试验，以防漏诊糖尿病。诊断为空腹血糖受损（IFG）或糖耐量减低（IGT），可按合格处理。</w:t>
      </w:r>
    </w:p>
    <w:p>
      <w:pPr>
        <w:adjustRightInd w:val="0"/>
        <w:snapToGrid w:val="0"/>
        <w:spacing w:line="500" w:lineRule="exact"/>
        <w:rPr>
          <w:rFonts w:hint="eastAsia" w:ascii="宋体" w:hAnsi="宋体" w:cs="宋体"/>
          <w:bCs/>
        </w:rPr>
      </w:pPr>
      <w:r>
        <w:rPr>
          <w:rFonts w:hint="eastAsia" w:ascii="宋体" w:hAnsi="宋体" w:cs="宋体"/>
          <w:bCs/>
        </w:rPr>
        <w:t>10.3.4  检测餐后2小时血糖（2hPG）具体操作要求：</w:t>
      </w:r>
    </w:p>
    <w:p>
      <w:pPr>
        <w:adjustRightInd w:val="0"/>
        <w:snapToGrid w:val="0"/>
        <w:spacing w:line="500" w:lineRule="exact"/>
        <w:ind w:firstLine="420" w:firstLineChars="200"/>
        <w:rPr>
          <w:rFonts w:hint="eastAsia" w:ascii="宋体" w:hAnsi="宋体" w:cs="宋体"/>
          <w:bCs/>
        </w:rPr>
      </w:pPr>
      <w:r>
        <w:rPr>
          <w:rFonts w:hint="eastAsia" w:ascii="宋体" w:hAnsi="宋体" w:cs="宋体"/>
          <w:bCs/>
        </w:rPr>
        <w:t>1）考生空腹8-10小时后，口服溶于300米毫升水内的无水葡萄糖粉75克（5分钟内服完）；</w:t>
      </w:r>
    </w:p>
    <w:p>
      <w:pPr>
        <w:adjustRightInd w:val="0"/>
        <w:snapToGrid w:val="0"/>
        <w:spacing w:line="500" w:lineRule="exact"/>
        <w:ind w:firstLine="420" w:firstLineChars="200"/>
        <w:rPr>
          <w:rFonts w:hint="eastAsia" w:ascii="宋体" w:hAnsi="宋体" w:cs="宋体"/>
          <w:bCs/>
        </w:rPr>
      </w:pPr>
      <w:r>
        <w:rPr>
          <w:rFonts w:hint="eastAsia" w:ascii="宋体" w:hAnsi="宋体" w:cs="宋体"/>
          <w:bCs/>
        </w:rPr>
        <w:t>2）从服糖第一口开始计时，服糖后2小时在前臂采血测血糖；</w:t>
      </w:r>
    </w:p>
    <w:p>
      <w:pPr>
        <w:adjustRightInd w:val="0"/>
        <w:snapToGrid w:val="0"/>
        <w:spacing w:line="500" w:lineRule="exact"/>
        <w:ind w:firstLine="420" w:firstLineChars="200"/>
        <w:rPr>
          <w:rFonts w:hint="eastAsia" w:ascii="宋体" w:hAnsi="宋体" w:cs="宋体"/>
          <w:bCs/>
        </w:rPr>
      </w:pPr>
      <w:r>
        <w:rPr>
          <w:rFonts w:hint="eastAsia" w:ascii="宋体" w:hAnsi="宋体" w:cs="宋体"/>
          <w:bCs/>
        </w:rPr>
        <w:t>3）血标本应尽早送检；</w:t>
      </w:r>
    </w:p>
    <w:p>
      <w:pPr>
        <w:adjustRightInd w:val="0"/>
        <w:snapToGrid w:val="0"/>
        <w:spacing w:line="500" w:lineRule="exact"/>
        <w:ind w:firstLine="420" w:firstLineChars="200"/>
        <w:rPr>
          <w:rFonts w:hint="eastAsia" w:ascii="宋体" w:hAnsi="宋体" w:cs="宋体"/>
          <w:bCs/>
        </w:rPr>
      </w:pPr>
      <w:r>
        <w:rPr>
          <w:rFonts w:hint="eastAsia" w:ascii="宋体" w:hAnsi="宋体" w:cs="宋体"/>
          <w:bCs/>
        </w:rPr>
        <w:t>4）2hPG≥11.1</w:t>
      </w:r>
      <w:r>
        <w:rPr>
          <w:rFonts w:hint="eastAsia" w:ascii="宋体" w:hAnsi="宋体" w:cs="宋体"/>
        </w:rPr>
        <w:t>mm</w:t>
      </w:r>
      <w:r>
        <w:rPr>
          <w:rFonts w:hint="eastAsia" w:ascii="宋体" w:hAnsi="宋体" w:cs="宋体"/>
          <w:bCs/>
        </w:rPr>
        <w:t>ol/L者，不合格。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10.3.5  患有甲亢时多伴有窦性心动过速，若体检中发现心率快经复查不能恢复者（仍高于100次/min），应注意仔细检查甲状腺，必要时检测血清TSH、FT</w:t>
      </w:r>
      <w:r>
        <w:rPr>
          <w:rFonts w:hint="eastAsia" w:ascii="宋体" w:hAnsi="宋体" w:cs="宋体"/>
          <w:kern w:val="0"/>
          <w:szCs w:val="21"/>
          <w:vertAlign w:val="subscript"/>
        </w:rPr>
        <w:t>3</w:t>
      </w:r>
      <w:r>
        <w:rPr>
          <w:rFonts w:hint="eastAsia" w:ascii="宋体" w:hAnsi="宋体" w:cs="宋体"/>
          <w:kern w:val="0"/>
          <w:szCs w:val="21"/>
        </w:rPr>
        <w:t>、FT</w:t>
      </w:r>
      <w:r>
        <w:rPr>
          <w:rFonts w:hint="eastAsia" w:ascii="宋体" w:hAnsi="宋体" w:cs="宋体"/>
          <w:kern w:val="0"/>
          <w:szCs w:val="21"/>
          <w:vertAlign w:val="subscript"/>
        </w:rPr>
        <w:t>4</w:t>
      </w:r>
      <w:r>
        <w:rPr>
          <w:rFonts w:hint="eastAsia" w:ascii="宋体" w:hAnsi="宋体" w:cs="宋体"/>
          <w:kern w:val="0"/>
          <w:szCs w:val="21"/>
        </w:rPr>
        <w:t>水平，以排除甲亢。</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10.3.6  甲亢需注意与单纯性甲状腺肿相鉴别。单纯甲状腺肿只表现为甲状腺肿大，无甲亢的机体高代谢表现，实验室检查结果正常。</w:t>
      </w:r>
    </w:p>
    <w:p>
      <w:pPr>
        <w:widowControl/>
        <w:adjustRightInd w:val="0"/>
        <w:snapToGrid w:val="0"/>
        <w:spacing w:line="500" w:lineRule="exact"/>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11  关于精神疾病</w:t>
      </w:r>
    </w:p>
    <w:p>
      <w:pPr>
        <w:widowControl/>
        <w:adjustRightInd w:val="0"/>
        <w:snapToGrid w:val="0"/>
        <w:spacing w:line="500" w:lineRule="exact"/>
        <w:ind w:firstLine="413" w:firstLineChars="196"/>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第十一条  有癫痫病史、精神病史、癔病史、夜游症、严重的神经官能症（经常头痛头晕、失眠、记忆力明显下降等），精神活性物质滥用和依赖者，不合格。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11.1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精神疾病广义上泛指所有精神障碍，主要包括以下几种：</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1）重性精神病：如精神分裂症、偏执性精神病、反复发作的情感性精神障碍（如躁狂症、抑郁症等）、无法归类的精神病性障碍、急性心因性精神障碍等。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2）各类器质性（包括症状性）精神障碍：包括颅内感染、中毒、颅脑外伤、肿瘤、癫痫及脑血管病等导致的精神障碍。</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4）人格障碍：如反社会型、冲动型、分裂型人格障碍。</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5）与文化密切相关的精神障碍：如沉迷于气功、巫术等而导致的精神障碍，常严重影响职业及社会功能。</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11.2  诊断要点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1）病史询问要点：有无精神疾病家族史，有无精神疾病发作史及诊治情况。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2）查体要点：神经系统的检查，可以帮助寻找疾病的线索。</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3）辅助检查要点：体检中精神疾病主要依据病史进行诊断，故病史必须由受检者本人签字负责，一般不需做相关实验室检查和各种辅助检查。</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11.3  注意事项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精神疾病主要依据病史诊断，可疑者需经专科医院进一步检查确诊，应以二级以上专科医院（含二级医院）诊断结果为依据。</w:t>
      </w:r>
    </w:p>
    <w:p>
      <w:pPr>
        <w:widowControl/>
        <w:adjustRightInd w:val="0"/>
        <w:snapToGrid w:val="0"/>
        <w:spacing w:line="500" w:lineRule="exact"/>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12  关于结缔组织疾病</w:t>
      </w:r>
    </w:p>
    <w:p>
      <w:pPr>
        <w:widowControl/>
        <w:adjustRightInd w:val="0"/>
        <w:snapToGrid w:val="0"/>
        <w:spacing w:line="500" w:lineRule="exact"/>
        <w:ind w:firstLine="413" w:firstLineChars="196"/>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第十二条  红斑狼疮、皮肌炎和/或多发性肌炎、硬皮病、结节性多动脉炎、类风湿性关节炎等各种弥漫性结缔组织疾病，大动脉炎，不合格。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12.1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12.1.3  硬皮病  是一种以皮肤及各系统胶原纤维硬化为特征的结缔组织疾病，分为局限性和系统性两型。局限性</w:t>
      </w:r>
      <w:r>
        <w:rPr>
          <w:rFonts w:ascii="宋体" w:hAnsi="宋体" w:cs="宋体"/>
          <w:kern w:val="0"/>
          <w:szCs w:val="21"/>
        </w:rPr>
        <w:fldChar w:fldCharType="begin"/>
      </w:r>
      <w:r>
        <w:rPr>
          <w:rFonts w:ascii="宋体" w:hAnsi="宋体" w:cs="宋体"/>
          <w:kern w:val="0"/>
          <w:szCs w:val="21"/>
        </w:rPr>
        <w:instrText xml:space="preserve"> HYPERLINK "http://yingpibing.sle999.com" </w:instrText>
      </w:r>
      <w:r>
        <w:rPr>
          <w:rFonts w:ascii="宋体" w:hAnsi="宋体" w:cs="宋体"/>
          <w:kern w:val="0"/>
          <w:szCs w:val="21"/>
        </w:rPr>
        <w:fldChar w:fldCharType="separate"/>
      </w:r>
      <w:r>
        <w:rPr>
          <w:rFonts w:hint="eastAsia" w:ascii="宋体" w:hAnsi="宋体" w:cs="宋体"/>
          <w:kern w:val="0"/>
          <w:szCs w:val="21"/>
        </w:rPr>
        <w:t>硬皮病</w:t>
      </w:r>
      <w:r>
        <w:rPr>
          <w:rFonts w:ascii="宋体" w:hAnsi="宋体" w:cs="宋体"/>
          <w:kern w:val="0"/>
          <w:szCs w:val="21"/>
        </w:rPr>
        <w:fldChar w:fldCharType="end"/>
      </w:r>
      <w:r>
        <w:rPr>
          <w:rFonts w:hint="eastAsia" w:ascii="宋体" w:hAnsi="宋体" w:cs="宋体"/>
          <w:kern w:val="0"/>
          <w:szCs w:val="21"/>
        </w:rPr>
        <w:t>主要表现为皮肤硬化；系统性</w:t>
      </w:r>
      <w:r>
        <w:rPr>
          <w:rFonts w:ascii="宋体" w:hAnsi="宋体" w:cs="宋体"/>
          <w:kern w:val="0"/>
          <w:szCs w:val="21"/>
        </w:rPr>
        <w:fldChar w:fldCharType="begin"/>
      </w:r>
      <w:r>
        <w:rPr>
          <w:rFonts w:ascii="宋体" w:hAnsi="宋体" w:cs="宋体"/>
          <w:kern w:val="0"/>
          <w:szCs w:val="21"/>
        </w:rPr>
        <w:instrText xml:space="preserve"> HYPERLINK "http://yingpibing.sle999.com" </w:instrText>
      </w:r>
      <w:r>
        <w:rPr>
          <w:rFonts w:ascii="宋体" w:hAnsi="宋体" w:cs="宋体"/>
          <w:kern w:val="0"/>
          <w:szCs w:val="21"/>
        </w:rPr>
        <w:fldChar w:fldCharType="separate"/>
      </w:r>
      <w:r>
        <w:rPr>
          <w:rFonts w:hint="eastAsia" w:ascii="宋体" w:hAnsi="宋体" w:cs="宋体"/>
          <w:kern w:val="0"/>
          <w:szCs w:val="21"/>
        </w:rPr>
        <w:t>硬皮病</w:t>
      </w:r>
      <w:r>
        <w:rPr>
          <w:rFonts w:ascii="宋体" w:hAnsi="宋体" w:cs="宋体"/>
          <w:kern w:val="0"/>
          <w:szCs w:val="21"/>
        </w:rPr>
        <w:fldChar w:fldCharType="end"/>
      </w:r>
      <w:r>
        <w:rPr>
          <w:rFonts w:hint="eastAsia" w:ascii="宋体" w:hAnsi="宋体" w:cs="宋体"/>
          <w:kern w:val="0"/>
          <w:szCs w:val="21"/>
        </w:rPr>
        <w:t>又称系统性硬化症，可累及皮肤、滑膜及内脏，特别是胃肠道、肺、肾、心、血管、骨骼肌系统等，引起相应脏器的功能不全。</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12.1.4  结节性多动脉炎  是一种累及全身中、小动脉全层的炎症性和坏死性血管炎，随受累动脉的部位不同，临床表现可仅局限于皮肤，也可波及多个器官或系统，以肾脏、心脏、消化和神经系统受累最常见。</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12.2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12.2.1  系统性红斑狼疮 </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1）病史询问要点：有无发热、关节痛、皮疹，有无系统性损害的相关临床症状。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2）查体要点：注意有无典型的特征性皮疹（约80%～85%的患者可出现面部蝶形红斑），有无关节肿痛、脱发，有无系统性损害（如心肌炎、胸膜炎、肾炎或肾病综合征、神经系统炎症等）的相关体征。</w:t>
      </w:r>
    </w:p>
    <w:p>
      <w:pPr>
        <w:widowControl/>
        <w:adjustRightInd w:val="0"/>
        <w:snapToGrid w:val="0"/>
        <w:spacing w:line="500" w:lineRule="exact"/>
        <w:ind w:firstLine="420" w:firstLineChars="200"/>
        <w:jc w:val="left"/>
        <w:rPr>
          <w:rFonts w:hint="eastAsia" w:ascii="宋体" w:hAnsi="宋体" w:cs="宋体"/>
          <w:b/>
          <w:bCs/>
          <w:kern w:val="0"/>
          <w:szCs w:val="21"/>
        </w:rPr>
      </w:pPr>
      <w:r>
        <w:rPr>
          <w:rFonts w:hint="eastAsia" w:ascii="宋体" w:hAnsi="宋体" w:cs="宋体"/>
          <w:kern w:val="0"/>
          <w:szCs w:val="21"/>
        </w:rPr>
        <w:t>3）辅助检查要点：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①血常规：可有贫血，白细胞和血小板减少，或全血细胞减少。</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②尿常规及肾功能：肾损害者可有程度不等的尿检查异常，如蛋白尿、血尿，严重肾损害者血尿素氮和肌酐升高。</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③免疫学检查：血中存在多种自身抗体是本病的特点。体检时若发现典型的特征性皮疹和多系统性损害的临床表现，应进行相关实验室检查，若抗核抗体（ANA）阳性或狼疮细胞（LE细胞）阳性，即可明确诊断。</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12.2.2  皮肌炎</w:t>
      </w:r>
    </w:p>
    <w:p>
      <w:pPr>
        <w:widowControl/>
        <w:adjustRightInd w:val="0"/>
        <w:snapToGrid w:val="0"/>
        <w:spacing w:line="500" w:lineRule="exact"/>
        <w:ind w:left="420"/>
        <w:jc w:val="left"/>
        <w:rPr>
          <w:rFonts w:hint="eastAsia" w:ascii="宋体" w:hAnsi="宋体" w:cs="宋体"/>
          <w:kern w:val="0"/>
          <w:szCs w:val="21"/>
        </w:rPr>
      </w:pPr>
      <w:r>
        <w:rPr>
          <w:rFonts w:hint="eastAsia" w:ascii="宋体" w:hAnsi="宋体" w:cs="宋体"/>
          <w:kern w:val="0"/>
          <w:szCs w:val="21"/>
        </w:rPr>
        <w:t>1）病史询问要点：有无发热、关节痛、肌肉乏力、肌肉疼痛等症状。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3）辅助检查要点：必要时组织会诊并进行相关实验室检查，如尿肌酸测定、肌电图检查、皮肤及肌肉活组织检查等，以进一步确诊。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12.2.3  硬皮病</w:t>
      </w:r>
    </w:p>
    <w:p>
      <w:pPr>
        <w:widowControl/>
        <w:adjustRightInd w:val="0"/>
        <w:snapToGrid w:val="0"/>
        <w:spacing w:line="500" w:lineRule="exact"/>
        <w:ind w:left="420"/>
        <w:jc w:val="left"/>
        <w:rPr>
          <w:rFonts w:hint="eastAsia" w:ascii="宋体" w:hAnsi="宋体" w:cs="宋体"/>
          <w:kern w:val="0"/>
          <w:szCs w:val="21"/>
        </w:rPr>
      </w:pPr>
      <w:r>
        <w:rPr>
          <w:rFonts w:hint="eastAsia" w:ascii="宋体" w:hAnsi="宋体" w:cs="宋体"/>
          <w:kern w:val="0"/>
          <w:szCs w:val="21"/>
        </w:rPr>
        <w:t>1）病史询问要点：有无发热、关节痛，有无系统性损害的相关临床症状。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3）辅助检查要点：硬皮病一般根据皮肤硬化即可诊断，必要时可进行相关辅助检查，如类风湿因子、抗核抗体测定和X线检查等，以进一步确诊。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12.2.4  结节性多动脉炎</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1）病史询问要点：有无发热、关节痛、肌痛、体重减轻，有无系统性损害的相关临床症状。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3）辅助检查要点：可疑病例必要时进行相关辅助检查，如可做皮下结节或肌肉活组织检查等，以进一步确诊。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12.2.5  类风湿性关节炎</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1）病史询问要点：有无发热、关节痛、体重减轻，有无其他系统损害的相关临床症状。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3）辅助检查要点：可疑病例必要时进行相关辅助检查，如红细胞沉降率(血沉)、免疫球蛋白、类风湿因子、抗核抗体测定和X线检查等，以进一步确诊。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12.2.6  大动脉炎</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3）辅助检查要点：可疑病例进行相关辅助检查，血管多普勒超声检查可显示狭窄远端动脉搏动强度和血流量减低，必要时做可疑血管部位增强CT、MRI等检查，并组织专科医师会诊。</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12.3  注意事项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12.3.1  弥漫性结缔组织病病种繁多，病因复杂，常累及多系统、多脏器，查体应系统、全面，并特别注意皮损的分布特征。</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12.3.2  除体检外，发病年龄、性别对此类疾病的诊断具有参考价值，应结合阳性体征详询病史，必要时做相关辅助检查，以及早作出正确诊断。</w:t>
      </w:r>
    </w:p>
    <w:p>
      <w:pPr>
        <w:widowControl/>
        <w:adjustRightInd w:val="0"/>
        <w:snapToGrid w:val="0"/>
        <w:spacing w:line="500" w:lineRule="exact"/>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13  关于血吸虫病及丝虫病</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第十三条  晚期血吸虫病，晚期丝虫病兼有象皮肿或有乳糜尿，不合格。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13.1  条文解释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13.2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13.2.1  血吸虫病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1）病史询问要点：注意流行病学特点，如籍贯、职业，是否为流行区居民或曾经去过疫区并有与疫水接触史，有无急性血吸虫病患病史及其治疗史。</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①B超：晚期血吸虫病声像图呈肝硬化表现，是诊断的关键。可见肝脏增大，回声不均，肝脏可有轻度变形，包膜不规整，再生结节不明显；脾脏肿大，长径＞</w:t>
      </w:r>
      <w:r>
        <w:rPr>
          <w:rFonts w:ascii="宋体" w:hAnsi="宋体" w:cs="宋体"/>
          <w:kern w:val="0"/>
          <w:szCs w:val="21"/>
        </w:rPr>
        <w:t>11 cm</w:t>
      </w:r>
      <w:r>
        <w:rPr>
          <w:rFonts w:hint="eastAsia" w:ascii="宋体" w:hAnsi="宋体" w:cs="宋体"/>
          <w:kern w:val="0"/>
          <w:szCs w:val="21"/>
        </w:rPr>
        <w:t>，厚径＞</w:t>
      </w:r>
      <w:r>
        <w:rPr>
          <w:rFonts w:ascii="宋体" w:hAnsi="宋体" w:cs="宋体"/>
          <w:kern w:val="0"/>
          <w:szCs w:val="21"/>
        </w:rPr>
        <w:t>4 cm</w:t>
      </w:r>
      <w:r>
        <w:rPr>
          <w:rFonts w:hint="eastAsia" w:ascii="宋体" w:hAnsi="宋体" w:cs="宋体"/>
          <w:kern w:val="0"/>
          <w:szCs w:val="21"/>
        </w:rPr>
        <w:t>；伴门静脉高压时门静脉、脾静脉内径增宽，其中门静脉内径</w:t>
      </w:r>
      <w:r>
        <w:rPr>
          <w:rFonts w:ascii="宋体" w:hAnsi="宋体" w:cs="宋体"/>
          <w:kern w:val="0"/>
          <w:szCs w:val="21"/>
        </w:rPr>
        <w:t>&gt;1.3 cm</w:t>
      </w:r>
      <w:r>
        <w:rPr>
          <w:rFonts w:hint="eastAsia" w:ascii="宋体" w:hAnsi="宋体" w:cs="宋体"/>
          <w:kern w:val="0"/>
          <w:szCs w:val="21"/>
        </w:rPr>
        <w:t>，脾静脉内径</w:t>
      </w:r>
      <w:r>
        <w:rPr>
          <w:rFonts w:ascii="宋体" w:hAnsi="宋体" w:cs="宋体"/>
          <w:kern w:val="0"/>
          <w:szCs w:val="21"/>
        </w:rPr>
        <w:t>&gt;0.9 cm</w:t>
      </w:r>
      <w:r>
        <w:rPr>
          <w:rFonts w:hint="eastAsia" w:ascii="宋体" w:hAnsi="宋体" w:cs="宋体"/>
          <w:kern w:val="0"/>
          <w:szCs w:val="21"/>
        </w:rPr>
        <w:t>，走行迂曲；可出现腹水。</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②血常规：显示全血细胞减少或白细胞、血小板减少（脾功能亢进表现）。</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一般根据上述检查所见即可作出诊断。作为体检，一般不必再进行病原学等实验室检查。</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13.2.2  丝虫病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1）病史询问要点：注意流行病学特点。本病主要分布在热带和亚热带地区，发病多集中在夏秋季节，注意询问是否曾在流行区旅居，有无反复发作的淋巴管炎病史等。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2）查体要点：因淋巴循环阻塞部位的不同而产生不同的临床征象。注意有无淋巴结肿大、精索淋巴管曲张、睾丸鞘膜积液、乳糜尿、下肢或阴囊象皮肿等。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3）辅助检查要点：一般根据上述典型表现即可作出诊断。作为体检，一般不必再做病原学等实验室检查。</w:t>
      </w: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14  关于颅脑疾病及损伤</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第十四条  颅骨缺损、颅内异物存留、颅脑畸形、脑外伤后综合征，不合格。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14.1  条文解释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14.1.2  颅内异物存留  系因开放性颅脑外伤后处理不及时或清创不彻底等原因造成。弹片、颅骨碎片等异物存留在脑组织中，易导致颅内感染、出血、脑水肿，晚期还容易发生癫痫等并发症，因此作不合格结论。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14.2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14.2.1  颅骨缺损</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1）病史询问要点：有无颅脑外伤史，治疗情况，平时有无头痛、头晕等症状。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2）查体要点：通过头颅外观检查即可明确颅骨缺损的部位、大小。应注意有无软组织膨出。</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3）辅助检查要点：一般通过体检可作出诊断。必要时可摄头颅X线片，以进一步确诊。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14.2.2  颅内异物存留</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1）病史询问要点：有无颅脑外伤史，特别是开放性颅脑外伤史，以及当时治疗情况。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2）查体要点：注意检查有无颅脑外伤瘢痕、颅骨缺损、凹陷等体征。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3）辅助检查要点：体检中若发现颅脑外伤或手术的可疑体征，应进一步做相关检查，如头颅X线、CT检查，以明确有无颅内异物等器质性病变。</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14.2.3  颅脑畸形</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1）病史询问要点：平时有无头痛、头晕、头部活动受限等症状。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3）辅助检查要点：一般通过头颅外观检查即可作出初步判断，必要时可做头颅X线或CT检查。</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14.2.4  脑外伤后综合征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1）病史询问要点：有无脑外伤史，平时有无头痛、头晕和自主神经功能紊乱症状（如耳鸣、心悸、血压波动、多汗等）。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2）查体要点：注意有无颅脑外伤瘢痕、颅骨缺损、凹陷等体征。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14.3  注意事项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体检中应结合可疑阳性体征详问颅脑外伤史。对颅脑外伤后无颅骨缺损、头颅X线或CT检查未发现异物存留等器质性病变者，若其本人否认存在头痛、头晕等症状，应作体检合格结论。</w:t>
      </w: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15  关于骨髓炎</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第十五条  严重的慢性骨髓炎，不合格。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15.1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本条款的实际含义是：四肢长管状骨、躯干骨及手部掌、指骨的慢性骨髓炎，尤其是伴有慢性窦道、髓腔内死骨形成或关节活动受限者，均不合格。而排除进行性发展趋势的慢性局限性骨髓炎，可视为体检合格。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指骨骨髓炎虽然发病率低，但是发病后对于手的掌指、指间关节的活动影响较大，从而使手的功能发生障碍，故同样视为体检不合格。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慢性局限性骨髓炎，因其发病局限、症状轻微，而手术治疗较为容易且疗效好，易于痊愈，因此可视为体检合格。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bCs/>
          <w:kern w:val="0"/>
          <w:szCs w:val="21"/>
        </w:rPr>
        <w:t>15.1.1  骨髓炎  系由</w:t>
      </w:r>
      <w:r>
        <w:rPr>
          <w:rFonts w:hint="eastAsia" w:ascii="宋体" w:hAnsi="宋体" w:cs="宋体"/>
          <w:kern w:val="0"/>
          <w:szCs w:val="21"/>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急性骨髓炎病理特点是以骨质破坏、坏死为主，也可见由此诱发的骨修复反应（骨质增生）。骨破坏和骨修复二者虽然同时存在，但往往是骨破坏远大于骨修复。</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widowControl/>
        <w:adjustRightInd w:val="0"/>
        <w:snapToGrid w:val="0"/>
        <w:spacing w:line="500" w:lineRule="exact"/>
        <w:jc w:val="left"/>
        <w:rPr>
          <w:rFonts w:hint="eastAsia" w:ascii="宋体" w:hAnsi="宋体" w:cs="宋体"/>
          <w:bCs/>
          <w:kern w:val="0"/>
          <w:szCs w:val="21"/>
        </w:rPr>
      </w:pPr>
      <w:r>
        <w:rPr>
          <w:rFonts w:hint="eastAsia" w:ascii="宋体" w:hAnsi="宋体" w:cs="宋体"/>
          <w:bCs/>
          <w:kern w:val="0"/>
          <w:szCs w:val="21"/>
        </w:rPr>
        <w:t>15.1.2  体检中可能遇到的几种骨髓炎</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1）  急性骨髓炎  体检中一般不易遇到，一旦发现则为不合格。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2）  慢性骨髓炎  病程漫长，反复发作，治疗比较困难，故不合格。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3）  脊椎骨髓炎  发病深在，治疗困难，预后不良，故不合格。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4）  髂骨骨髓炎  该病多需手术治疗，一经诊断，不合格。</w:t>
      </w:r>
    </w:p>
    <w:p>
      <w:pPr>
        <w:widowControl/>
        <w:adjustRightInd w:val="0"/>
        <w:snapToGrid w:val="0"/>
        <w:spacing w:line="500" w:lineRule="exact"/>
        <w:jc w:val="left"/>
        <w:rPr>
          <w:rFonts w:hint="eastAsia" w:ascii="宋体" w:hAnsi="宋体" w:cs="宋体"/>
          <w:bCs/>
          <w:kern w:val="0"/>
          <w:szCs w:val="21"/>
        </w:rPr>
      </w:pPr>
      <w:r>
        <w:rPr>
          <w:rFonts w:hint="eastAsia" w:ascii="宋体" w:hAnsi="宋体" w:cs="宋体"/>
          <w:bCs/>
          <w:kern w:val="0"/>
          <w:szCs w:val="21"/>
        </w:rPr>
        <w:t>15.1.3  关于几种特殊类型的慢性骨髓炎</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1）  硬化性骨髓炎  本病治疗多以抗生素全身治疗为主，疗效欠佳。一经诊断，为不合格。</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    2） 慢性局限性骨髓炎（骨脓肿）  本病发病局限，骨质破坏轻，局部症状轻，治疗较易，手术简单，明确诊断后可视为体检合格。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15.2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bCs/>
          <w:kern w:val="0"/>
          <w:szCs w:val="21"/>
        </w:rPr>
        <w:t xml:space="preserve">15.2.1 </w:t>
      </w:r>
      <w:r>
        <w:rPr>
          <w:rFonts w:ascii="宋体" w:hAnsi="宋体" w:cs="宋体"/>
          <w:kern w:val="0"/>
          <w:szCs w:val="21"/>
        </w:rPr>
        <w:t xml:space="preserve"> </w:t>
      </w:r>
      <w:r>
        <w:rPr>
          <w:rFonts w:hint="eastAsia" w:ascii="宋体" w:hAnsi="宋体" w:cs="宋体"/>
          <w:kern w:val="0"/>
          <w:szCs w:val="21"/>
        </w:rPr>
        <w:t>急性骨髓炎</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1）病史询问要点：注意发病年龄及性别。本病好发于3-15岁儿童期（即骨生长最活跃期），男性多于女性，其比例约为4:1。</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2）查体要点：本病多发生于股骨、胫骨、肱骨等长管状骨，其发病急骤，临床表现剧烈，患者全身症状明显，一般不易出现在体检中。</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3）辅助检查要点：急性期血白细胞总数增高，X线片多无阳性改变。</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bCs/>
          <w:kern w:val="0"/>
          <w:szCs w:val="21"/>
        </w:rPr>
        <w:t>15.2.2</w:t>
      </w:r>
      <w:r>
        <w:rPr>
          <w:rFonts w:ascii="宋体" w:hAnsi="宋体" w:cs="宋体"/>
          <w:kern w:val="0"/>
          <w:szCs w:val="21"/>
        </w:rPr>
        <w:t xml:space="preserve">  </w:t>
      </w:r>
      <w:r>
        <w:rPr>
          <w:rFonts w:hint="eastAsia" w:ascii="宋体" w:hAnsi="宋体" w:cs="宋体"/>
          <w:kern w:val="0"/>
          <w:szCs w:val="21"/>
        </w:rPr>
        <w:t>慢性骨髓炎</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1）病史询问要点：有无急性血源性骨髓炎病史，或开放性骨折感染病史，或穿通性损伤感染病史，以及骨髓炎反复发作史。若炎症在活动期，尚可出现发热等全身症状。</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⑵血常规：若炎症在活动期，可见血白细胞总数升高，中性粒细胞比例上升。</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15.2.3 </w:t>
      </w:r>
      <w:r>
        <w:rPr>
          <w:rFonts w:ascii="宋体" w:hAnsi="宋体" w:cs="宋体"/>
          <w:kern w:val="0"/>
          <w:szCs w:val="21"/>
        </w:rPr>
        <w:t xml:space="preserve"> </w:t>
      </w:r>
      <w:r>
        <w:rPr>
          <w:rFonts w:hint="eastAsia" w:ascii="宋体" w:hAnsi="宋体" w:cs="宋体"/>
          <w:kern w:val="0"/>
          <w:szCs w:val="21"/>
        </w:rPr>
        <w:t>脊椎骨髓炎</w:t>
      </w:r>
    </w:p>
    <w:p>
      <w:pPr>
        <w:widowControl/>
        <w:adjustRightInd w:val="0"/>
        <w:snapToGrid w:val="0"/>
        <w:spacing w:line="500" w:lineRule="exact"/>
        <w:ind w:firstLine="420"/>
        <w:jc w:val="left"/>
        <w:rPr>
          <w:rFonts w:hint="eastAsia" w:ascii="宋体" w:hAnsi="宋体" w:cs="宋体"/>
          <w:b/>
          <w:kern w:val="0"/>
          <w:szCs w:val="21"/>
        </w:rPr>
      </w:pPr>
      <w:r>
        <w:rPr>
          <w:rFonts w:hint="eastAsia" w:ascii="宋体" w:hAnsi="宋体" w:cs="宋体"/>
          <w:kern w:val="0"/>
          <w:szCs w:val="21"/>
        </w:rPr>
        <w:t>1）病史询问要点：发病无明显年龄及性别差异，注意询问有无急性发作史。</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骨X线片可出现椎体破坏、椎间隙变窄等改变，有时椎体被压缩呈扁平或楔状，若椎间盘破坏严重则椎间隙完全消失；椎体间常有明显骨桥形成，骨桥较宽而致密，呈拱形跨越二椎体间，颇具特征。</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15.2.4</w:t>
      </w:r>
      <w:r>
        <w:rPr>
          <w:rFonts w:ascii="宋体" w:hAnsi="宋体" w:cs="宋体"/>
          <w:kern w:val="0"/>
          <w:szCs w:val="21"/>
        </w:rPr>
        <w:t xml:space="preserve">  </w:t>
      </w:r>
      <w:r>
        <w:rPr>
          <w:rFonts w:hint="eastAsia" w:ascii="宋体" w:hAnsi="宋体" w:cs="宋体"/>
          <w:kern w:val="0"/>
          <w:szCs w:val="21"/>
        </w:rPr>
        <w:t>髂骨骨髓炎</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1）病史询问要点：本病多发生于20岁以内人群，注意询问有无急性发作史。</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骨X线片骨质增生明显，但因为髂骨皮质薄，血运丰富，往往无大块死骨形成。</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15.2.5</w:t>
      </w:r>
      <w:r>
        <w:rPr>
          <w:rFonts w:ascii="宋体" w:hAnsi="宋体" w:cs="宋体"/>
          <w:kern w:val="0"/>
          <w:szCs w:val="21"/>
        </w:rPr>
        <w:t xml:space="preserve">  </w:t>
      </w:r>
      <w:r>
        <w:rPr>
          <w:rFonts w:hint="eastAsia" w:ascii="宋体" w:hAnsi="宋体" w:cs="宋体"/>
          <w:kern w:val="0"/>
          <w:szCs w:val="21"/>
        </w:rPr>
        <w:t>硬化性骨髓炎</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1）病史询问要点：本病多发生于成年人，往往无急性发作史。</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2）查体要点：多发生在股骨和肱骨，病程缓慢，可产生弥漫性骨干硬化，病骨变得粗大，致使肢体变形。</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骨X线片可见骨质增生，骨质硬化，骨干呈纺锤状增粗，骨皮质增厚，但骨质不与骨皮质分离，硬化区内可见密度减低区，为骨质破坏所致。</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15.2.6</w:t>
      </w:r>
      <w:r>
        <w:rPr>
          <w:rFonts w:ascii="宋体" w:hAnsi="宋体" w:cs="宋体"/>
          <w:kern w:val="0"/>
          <w:szCs w:val="21"/>
        </w:rPr>
        <w:t xml:space="preserve">  </w:t>
      </w:r>
      <w:r>
        <w:rPr>
          <w:rFonts w:hint="eastAsia" w:ascii="宋体" w:hAnsi="宋体" w:cs="宋体"/>
          <w:kern w:val="0"/>
          <w:szCs w:val="21"/>
        </w:rPr>
        <w:t>慢性局限性骨髓炎（骨脓肿）</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1）病史询问要点：本病是一种多侵犯长骨端松质骨的孤立性骨髓炎，最多见于儿童和青年，常无急性发作史及全身症状。</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2）查体要点：好发在胫骨上、下端，次为肱骨、股骨、桡骨下端，一般认为由毒性较低的化脓菌感染所致，局部表现以轻度疼痛为主。</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骨X线片可见圆形或椭圆形低密度骨质破坏区，其周围有明显的硬化环，这是其X线特征。</w:t>
      </w:r>
    </w:p>
    <w:p>
      <w:pPr>
        <w:widowControl/>
        <w:adjustRightInd w:val="0"/>
        <w:snapToGrid w:val="0"/>
        <w:spacing w:line="500" w:lineRule="exact"/>
        <w:jc w:val="left"/>
        <w:outlineLvl w:val="0"/>
        <w:rPr>
          <w:rFonts w:ascii="黑体" w:hAnsi="宋体" w:eastAsia="黑体" w:cs="宋体"/>
          <w:b/>
          <w:bCs/>
          <w:kern w:val="0"/>
          <w:szCs w:val="21"/>
        </w:rPr>
      </w:pPr>
      <w:r>
        <w:rPr>
          <w:rFonts w:hint="eastAsia" w:ascii="黑体" w:hAnsi="宋体" w:eastAsia="黑体" w:cs="宋体"/>
          <w:b/>
          <w:bCs/>
          <w:kern w:val="0"/>
          <w:szCs w:val="21"/>
        </w:rPr>
        <w:t>15.3  注意事项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15.3.4  X线检查对慢性骨髓炎的诊断具有重要参考价值。对可疑病例应常规拍摄X线片；读片医师应熟悉慢性骨髓炎的典型X线影像学改变，读片要认真，这对于作出正确诊断是很重要的。</w:t>
      </w:r>
    </w:p>
    <w:p>
      <w:pPr>
        <w:widowControl/>
        <w:adjustRightInd w:val="0"/>
        <w:snapToGrid w:val="0"/>
        <w:spacing w:line="500" w:lineRule="exact"/>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16  关于三度单纯性甲状腺肿</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第十六条  三度单纯性甲状腺肿，不合格。</w:t>
      </w:r>
    </w:p>
    <w:p>
      <w:pPr>
        <w:widowControl/>
        <w:adjustRightInd w:val="0"/>
        <w:snapToGrid w:val="0"/>
        <w:spacing w:line="500" w:lineRule="exact"/>
        <w:jc w:val="left"/>
        <w:outlineLvl w:val="0"/>
        <w:rPr>
          <w:rFonts w:hint="eastAsia" w:ascii="黑体" w:hAnsi="宋体" w:eastAsia="黑体" w:cs="宋体"/>
          <w:kern w:val="0"/>
          <w:szCs w:val="21"/>
        </w:rPr>
      </w:pPr>
      <w:r>
        <w:rPr>
          <w:rFonts w:hint="eastAsia" w:ascii="黑体" w:hAnsi="宋体" w:eastAsia="黑体" w:cs="宋体"/>
          <w:b/>
          <w:bCs/>
          <w:kern w:val="0"/>
          <w:szCs w:val="21"/>
        </w:rPr>
        <w:t>16.1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16.1.1  地方性甲状腺肿  又称缺碘性或无毒性甲状腺肿，按其病理变化分为弥漫性甲状腺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肿和结节性甲状腺肿两种类型。这两种类型实际上是发病过程中的两个不同阶段，后者多由前者演变而成，即初期甲状腺呈弥漫性肿大，随病程发展可逐渐形成许多结节，其中有的可继发甲亢或癌变。</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16.2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16.2.1  病史询问要点  长期居住区是否有该病流行，是否处于妊娠或哺乳期，发病的年龄、性别特点，除甲状腺肿大外是否有甲亢的全身毒性症状，有无声音嘶哑、吞咽困难、甲状腺肿大或结节的既往病史。</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1篇第1.3.5节“甲状腺检查”。</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16.2.3  辅助检查要点  根据甲状腺肿大的特点，一般不难作出诊断。作为体检，在不能与其他几种甲状腺疾病相鉴别时，可做相关辅助检查，以进一步明确诊断。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甲状腺B超：弥漫性甲状腺肿可见腺体呈弥漫性、对称性增大，表面光滑无结节；结节性甲状腺肿可见两侧叶呈不对称性增大，内见多个大小不等的结节，无明显包膜，结节回声强度不一，可有囊性变及钙化等。</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甲状腺功能：单纯性甲状腺肿患者血清T</w:t>
      </w:r>
      <w:r>
        <w:rPr>
          <w:rFonts w:hint="eastAsia" w:ascii="宋体" w:hAnsi="宋体" w:cs="宋体"/>
          <w:kern w:val="0"/>
          <w:szCs w:val="21"/>
          <w:vertAlign w:val="subscript"/>
        </w:rPr>
        <w:t>3</w:t>
      </w:r>
      <w:r>
        <w:rPr>
          <w:rFonts w:hint="eastAsia" w:ascii="宋体" w:hAnsi="宋体" w:cs="宋体"/>
          <w:kern w:val="0"/>
          <w:szCs w:val="21"/>
        </w:rPr>
        <w:t>、T</w:t>
      </w:r>
      <w:r>
        <w:rPr>
          <w:rFonts w:hint="eastAsia" w:ascii="宋体" w:hAnsi="宋体" w:cs="宋体"/>
          <w:kern w:val="0"/>
          <w:szCs w:val="21"/>
          <w:vertAlign w:val="subscript"/>
        </w:rPr>
        <w:t>4</w:t>
      </w:r>
      <w:r>
        <w:rPr>
          <w:rFonts w:hint="eastAsia" w:ascii="宋体" w:hAnsi="宋体" w:cs="宋体"/>
          <w:kern w:val="0"/>
          <w:szCs w:val="21"/>
        </w:rPr>
        <w:t>水平多在正常范围，TSH可升高。</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甲状腺自身抗体：阴性。此项检查有助于与慢性淋巴细胞性甲状腺炎相鉴别。</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16.3  注意事项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以下几种甲状腺疾病体检不合格，故必须与单纯性甲状腺肿相鉴别。</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1）甲亢：除甲状腺弥漫性肿大外，局部可触及震颤及听到血管杂音，此外还涉及多系统表现，如手指震颤、心动过速、脉压增大、眼球突出等，血清T</w:t>
      </w:r>
      <w:r>
        <w:rPr>
          <w:rFonts w:hint="eastAsia" w:ascii="宋体" w:hAnsi="宋体" w:cs="宋体"/>
          <w:kern w:val="0"/>
          <w:szCs w:val="21"/>
          <w:vertAlign w:val="subscript"/>
        </w:rPr>
        <w:t>3</w:t>
      </w:r>
      <w:r>
        <w:rPr>
          <w:rFonts w:hint="eastAsia" w:ascii="宋体" w:hAnsi="宋体" w:cs="宋体"/>
          <w:kern w:val="0"/>
          <w:szCs w:val="21"/>
        </w:rPr>
        <w:t>、T</w:t>
      </w:r>
      <w:r>
        <w:rPr>
          <w:rFonts w:hint="eastAsia" w:ascii="宋体" w:hAnsi="宋体" w:cs="宋体"/>
          <w:kern w:val="0"/>
          <w:szCs w:val="21"/>
          <w:vertAlign w:val="subscript"/>
        </w:rPr>
        <w:t>4</w:t>
      </w:r>
      <w:r>
        <w:rPr>
          <w:rFonts w:hint="eastAsia" w:ascii="宋体" w:hAnsi="宋体" w:cs="宋体"/>
          <w:kern w:val="0"/>
          <w:szCs w:val="21"/>
        </w:rPr>
        <w:t xml:space="preserve">水平增高。 </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2）甲状腺肿继发甲亢：无论甲状腺肿大程度如何，继发甲亢已不属于“单纯性甲状腺肿”。</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5)高功能性甲状腺腺瘤：一般的甲状腺腺瘤应视为体检合格，但若继发甲亢（高功能性腺瘤）或癌变，则为体检不合格。鉴别诊断见相关章节。</w:t>
      </w: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17  关于胆结石及泌尿系结石</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第十七条  有梗阻的胆结石或泌尿系结石，不合格。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17.1  条文解释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widowControl/>
        <w:adjustRightInd w:val="0"/>
        <w:snapToGrid w:val="0"/>
        <w:spacing w:line="500" w:lineRule="exact"/>
        <w:ind w:left="420"/>
        <w:jc w:val="left"/>
        <w:rPr>
          <w:rFonts w:hint="eastAsia" w:ascii="宋体" w:hAnsi="宋体" w:cs="宋体"/>
          <w:kern w:val="0"/>
          <w:szCs w:val="21"/>
        </w:rPr>
      </w:pPr>
      <w:r>
        <w:rPr>
          <w:rFonts w:hint="eastAsia" w:ascii="宋体" w:hAnsi="宋体" w:cs="宋体"/>
          <w:kern w:val="0"/>
          <w:szCs w:val="21"/>
        </w:rPr>
        <w:t>2）肝外胆管结石：主要是指胆总管结石，可以为原发性，即结石原发于胆管内，胆囊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Cs w:val="21"/>
        </w:rPr>
        <w:t>。</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1）肾结石：占泌尿系结石的首位，直接危害肾脏，其他任何部位的尿路结石也都可以始发于肾脏。肾结石的主要症状是腰痛和血尿，严重时可导致尿路梗阻，发生肾积水。</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2）输尿管结石：占泌尿系结石的第2位，绝大多数来源于肾脏。输尿管结石能引起上尿路梗阻和扩张积水，危害患肾，严重时可使肾功能逐渐丧失。</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3）膀胱结石：主要发生在儿童和老年人，分为原发性和继发性两种，前者多由营养不良所致，后者主要继发于前列腺增生症。</w:t>
      </w:r>
    </w:p>
    <w:p>
      <w:pPr>
        <w:widowControl/>
        <w:adjustRightInd w:val="0"/>
        <w:snapToGrid w:val="0"/>
        <w:spacing w:line="500" w:lineRule="exact"/>
        <w:ind w:firstLine="420"/>
        <w:jc w:val="left"/>
        <w:rPr>
          <w:rFonts w:hint="eastAsia" w:ascii="宋体" w:hAnsi="宋体" w:cs="宋体"/>
          <w:kern w:val="0"/>
          <w:szCs w:val="21"/>
        </w:rPr>
      </w:pPr>
      <w:r>
        <w:rPr>
          <w:rFonts w:hint="eastAsia" w:ascii="宋体" w:hAnsi="宋体" w:cs="宋体"/>
          <w:kern w:val="0"/>
          <w:szCs w:val="21"/>
        </w:rPr>
        <w:t>4）尿道结石：较少见，大多数系膀胱结石排出时停留在尿道所致。</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17.2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17.2.1  胆囊结石  </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1）病史询问要点：平时有无腹胀、嗳气等消化道症状，有无胆绞痛发作史及黄疸史。</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2）查体要点：胆囊结石不发作或无感染时，一般无特殊体征，或仅有右上腹轻度压痛。</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17.2.2  肝外胆管结石</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1）病史询问要点：既往有无胆结石病史，有无胆绞痛、高热、寒颤、黄疸发作史。</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2）查体要点：不发作时一般阳性体征不明显，有时右上腹、剑突下可有压痛。</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体检难以诊断时，可根据需要选择一些特殊检查，如磁共振胰胆管造影（MRCP）、内镜逆行胰胆管造影（ERCP）、静脉胆道造影等，这些方法可显示胆管内结石影和扩张的胆管，从而进一步确诊。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17.2.3  肝内胆管结石</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1）病史询问要点：既往有无胆结石病史，有无胆绞痛、高热、黄疸反复发作的病史及手术史。</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2）查体要点：不发作时一般阳性体征不明显，有时右上腹、剑突下可有压痛。</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体检难以诊断时，可根据需要选择一些特殊检查方法，如胆道造影、MRI等，了解有无肝内胆管狭窄、阻塞或局限性扩张，从而进一步确诊。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 xml:space="preserve">17.2.4  泌尿系结石 </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1）病史询问要点：应了解受检者的职业、饮食饮水习惯、服药史，以往有无排尿中断现象，有无肾绞痛发作史、排尿石史，有无痛风、甲状旁腺功能亢进等疾病史。</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2）查体要点：注意肾区有无叩击痛，并发明显肾积水者腹部触诊有时可触及肿大的肾脏。</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⑴ 腹部B超：可对肾脏、输尿管内有无结石，肾盂、肾盏有无积水，肾脏、输尿管有无其他合并病变作出诊断，对阴性结石的诊断尤有价值。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①肾结石：典型声像图为后方伴随声影的强回声团，以及结石周围有尿液形成的无回声带，有的结石可随体位改变而移动；若结石引起梗阻，可出现肾盂或肾盏扩张。</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②肾积水：声像图表现为肾窦回声分离，其间出现液性区且液性区相互连通；积水明显时肾脏可增大，肾实质受压变薄。</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③输尿管结石：典型声像图表现为肾盂、输尿管扩张，输尿管内可探及圆形、椭圆形或弧性强回声，后方有声影，与输尿管管壁分界清楚。</w:t>
      </w:r>
    </w:p>
    <w:p>
      <w:pPr>
        <w:widowControl/>
        <w:adjustRightInd w:val="0"/>
        <w:snapToGrid w:val="0"/>
        <w:spacing w:line="500" w:lineRule="exact"/>
        <w:ind w:firstLine="420" w:firstLineChars="200"/>
        <w:jc w:val="left"/>
        <w:rPr>
          <w:rFonts w:hint="eastAsia" w:ascii="楷体_GB2312" w:hAnsi="宋体" w:eastAsia="楷体_GB2312" w:cs="宋体"/>
          <w:kern w:val="0"/>
          <w:szCs w:val="21"/>
        </w:rPr>
      </w:pPr>
      <w:r>
        <w:rPr>
          <w:rFonts w:hint="eastAsia" w:ascii="宋体" w:hAnsi="宋体" w:cs="宋体"/>
          <w:kern w:val="0"/>
          <w:szCs w:val="21"/>
        </w:rPr>
        <w:t>⑵ 尿常规：多呈镜下血尿（红细胞＞3个/高倍视野）。出现脓尿（白细胞＞5个/高倍视野）时考虑泌尿系结石合并感染。</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⑶ 肾功能：当肾功能受到损害时，血肌酐、尿素氮水平可有不同程度的增高。</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⑷ 其他辅助检查：体检难以诊断时，可根据需要选择一些特殊检查方法，如静脉肾盂造影（IVP）等，以进一步了解双肾功能状态、尿路有无梗阻等。</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17.3  注意事项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17.3.2  关于尿常规检查  应注意留取新鲜中段尿液标本做检查。肾结石患者若尿常规检查提示尿液pH呈持续强酸性时，应注意进一步询问病史并检查血尿酸，以排除痛风。</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widowControl/>
        <w:adjustRightInd w:val="0"/>
        <w:snapToGrid w:val="0"/>
        <w:spacing w:line="500" w:lineRule="exact"/>
        <w:jc w:val="left"/>
        <w:rPr>
          <w:rFonts w:hint="eastAsia" w:ascii="宋体" w:hAnsi="宋体" w:cs="宋体"/>
          <w:kern w:val="0"/>
          <w:szCs w:val="21"/>
        </w:rPr>
      </w:pPr>
    </w:p>
    <w:p>
      <w:pPr>
        <w:widowControl/>
        <w:adjustRightInd w:val="0"/>
        <w:snapToGrid w:val="0"/>
        <w:spacing w:line="500" w:lineRule="exact"/>
        <w:jc w:val="left"/>
        <w:rPr>
          <w:rFonts w:ascii="黑体" w:hAnsi="宋体" w:eastAsia="黑体" w:cs="宋体"/>
          <w:b/>
          <w:kern w:val="0"/>
          <w:szCs w:val="21"/>
        </w:rPr>
      </w:pPr>
      <w:r>
        <w:rPr>
          <w:rFonts w:hint="eastAsia" w:ascii="黑体" w:hAnsi="宋体" w:eastAsia="黑体" w:cs="宋体"/>
          <w:b/>
          <w:bCs/>
          <w:kern w:val="0"/>
          <w:szCs w:val="21"/>
        </w:rPr>
        <w:t>18  关于</w:t>
      </w:r>
      <w:r>
        <w:rPr>
          <w:rFonts w:hint="eastAsia" w:ascii="黑体" w:hAnsi="宋体" w:eastAsia="黑体" w:cs="宋体"/>
          <w:b/>
          <w:kern w:val="0"/>
          <w:szCs w:val="21"/>
        </w:rPr>
        <w:t>性传播疾病</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第十八条  淋病，梅毒，软下疳，性病性淋巴肉芽肿，尖锐湿疣，生殖器疱疹，艾滋病，不合格。</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18.1  条文解释</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Cs w:val="21"/>
        </w:rPr>
        <w:t>20</w:t>
      </w:r>
      <w:r>
        <w:rPr>
          <w:rFonts w:hint="eastAsia" w:ascii="宋体" w:hAnsi="宋体" w:cs="宋体"/>
          <w:kern w:val="0"/>
          <w:szCs w:val="21"/>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18.1.3  软下疳  我国较少见，由杜克雷嗜血杆菌所引起。主要表现为生殖器部位的痛性溃疡，合并邻近淋巴结化脓性病变。</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Cs w:val="21"/>
        </w:rPr>
        <w:t>。</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《标准》本条款中所指的艾滋病，包括其各临床分期。与乙型肝炎病毒携带者所不同的是，不存在艾滋病病毒携带者这一概念。因此，HIV感染的诊断一经确定，即作体检不合格结论。</w:t>
      </w:r>
    </w:p>
    <w:p>
      <w:pPr>
        <w:widowControl/>
        <w:adjustRightInd w:val="0"/>
        <w:snapToGrid w:val="0"/>
        <w:spacing w:line="500" w:lineRule="exact"/>
        <w:jc w:val="left"/>
        <w:outlineLvl w:val="0"/>
        <w:rPr>
          <w:rFonts w:hint="eastAsia" w:ascii="黑体" w:hAnsi="宋体" w:eastAsia="黑体" w:cs="宋体"/>
          <w:b/>
          <w:bCs/>
          <w:kern w:val="0"/>
          <w:szCs w:val="21"/>
        </w:rPr>
      </w:pPr>
      <w:r>
        <w:rPr>
          <w:rFonts w:hint="eastAsia" w:ascii="黑体" w:hAnsi="宋体" w:eastAsia="黑体" w:cs="宋体"/>
          <w:b/>
          <w:bCs/>
          <w:kern w:val="0"/>
          <w:szCs w:val="21"/>
        </w:rPr>
        <w:t>18.2  诊断要点</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18.2.1  淋病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1）病史询问要点：成人淋病绝大多数都是通过性接触传染，一般发生在性接触后3～</w:t>
      </w:r>
      <w:r>
        <w:rPr>
          <w:rFonts w:ascii="宋体" w:hAnsi="宋体" w:cs="宋体"/>
          <w:kern w:val="0"/>
          <w:szCs w:val="21"/>
        </w:rPr>
        <w:t>5</w:t>
      </w:r>
      <w:r>
        <w:rPr>
          <w:rFonts w:hint="eastAsia" w:ascii="宋体" w:hAnsi="宋体" w:cs="宋体"/>
          <w:kern w:val="0"/>
          <w:szCs w:val="21"/>
        </w:rPr>
        <w:t>天，因此应重点询问婚外性接触史、配偶感染史；有无尿频、尿急、尿痛、排尿困难及全身不适等症状。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widowControl/>
        <w:adjustRightInd w:val="0"/>
        <w:snapToGrid w:val="0"/>
        <w:spacing w:line="500" w:lineRule="exact"/>
        <w:ind w:firstLine="420" w:firstLineChars="200"/>
        <w:jc w:val="left"/>
        <w:rPr>
          <w:rFonts w:hint="eastAsia" w:ascii="宋体" w:hAnsi="宋体" w:cs="宋体"/>
          <w:b/>
          <w:bCs/>
          <w:kern w:val="0"/>
          <w:szCs w:val="21"/>
        </w:rPr>
      </w:pPr>
      <w:r>
        <w:rPr>
          <w:rFonts w:hint="eastAsia" w:ascii="宋体" w:hAnsi="宋体" w:cs="宋体"/>
          <w:kern w:val="0"/>
          <w:szCs w:val="21"/>
        </w:rPr>
        <w:t>3）辅助检查要点：可疑者可做涂片淋球菌检查或淋球菌培养，以明确诊断。</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18.2.2  梅毒</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1）病史询问要点：梅毒主要通过性接触传染，此种传播途径约占</w:t>
      </w:r>
      <w:r>
        <w:rPr>
          <w:rFonts w:ascii="宋体" w:hAnsi="宋体" w:cs="宋体"/>
          <w:kern w:val="0"/>
          <w:szCs w:val="21"/>
        </w:rPr>
        <w:t>95%</w:t>
      </w:r>
      <w:r>
        <w:rPr>
          <w:rFonts w:hint="eastAsia" w:ascii="宋体" w:hAnsi="宋体" w:cs="宋体"/>
          <w:kern w:val="0"/>
          <w:szCs w:val="21"/>
        </w:rPr>
        <w:t>以上，因此应重点询问有无婚外性接触史，配偶、性伴有无梅毒感染史；既往有无梅毒性皮损史及治疗情况。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3）辅助检查要点：梅毒螺旋体血细胞凝集试验（TPHA）特异性强，即使经过足量抗梅毒治疗，血清反应仍长期保持阳性，因此经复查仍为阳性可确认梅毒螺旋体感染。</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对临床怀疑梅毒而血清学试验阴性者，应于2～3周后复查，有条件的地区还可做暗视野显微镜等检查，综合分析后作出诊断。</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18.2.3  软下疳</w:t>
      </w:r>
    </w:p>
    <w:p>
      <w:pPr>
        <w:widowControl/>
        <w:adjustRightInd w:val="0"/>
        <w:snapToGrid w:val="0"/>
        <w:spacing w:line="500" w:lineRule="exact"/>
        <w:ind w:left="420"/>
        <w:jc w:val="left"/>
        <w:rPr>
          <w:rFonts w:hint="eastAsia" w:ascii="宋体" w:hAnsi="宋体" w:cs="宋体"/>
          <w:kern w:val="0"/>
          <w:szCs w:val="21"/>
        </w:rPr>
      </w:pPr>
      <w:r>
        <w:rPr>
          <w:rFonts w:hint="eastAsia" w:ascii="宋体" w:hAnsi="宋体" w:cs="宋体"/>
          <w:kern w:val="0"/>
          <w:szCs w:val="21"/>
        </w:rPr>
        <w:t>1）病史询问要点：本病潜伏期一般为2～5天，应重点询问婚外性接触史、配偶感染史。</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2）查体要点：典型软下疳表现为外生殖器部位的丘疹、脓疱和疼痛性溃疡，溃疡基底较软，伴有邻近淋巴结炎（包括红、肿、痛和破溃）。</w:t>
      </w:r>
    </w:p>
    <w:p>
      <w:pPr>
        <w:widowControl/>
        <w:adjustRightInd w:val="0"/>
        <w:snapToGrid w:val="0"/>
        <w:spacing w:line="500" w:lineRule="exact"/>
        <w:ind w:firstLine="420" w:firstLineChars="200"/>
        <w:jc w:val="left"/>
        <w:rPr>
          <w:rFonts w:hint="eastAsia" w:ascii="宋体" w:hAnsi="宋体" w:cs="宋体"/>
          <w:b/>
          <w:bCs/>
          <w:color w:val="000000"/>
          <w:kern w:val="0"/>
          <w:szCs w:val="21"/>
        </w:rPr>
      </w:pPr>
      <w:r>
        <w:rPr>
          <w:rFonts w:hint="eastAsia" w:ascii="宋体" w:hAnsi="宋体" w:cs="宋体"/>
          <w:kern w:val="0"/>
          <w:szCs w:val="21"/>
        </w:rPr>
        <w:t>3）辅助检查要点：软下疳的致病菌培养困难，对溃疡渗出物作暗视野显微镜检查未发现梅毒螺旋体</w:t>
      </w:r>
      <w:r>
        <w:rPr>
          <w:rFonts w:hint="eastAsia" w:ascii="宋体" w:hAnsi="宋体" w:cs="宋体"/>
          <w:color w:val="000000"/>
          <w:kern w:val="0"/>
          <w:szCs w:val="21"/>
        </w:rPr>
        <w:t>，</w:t>
      </w:r>
      <w:r>
        <w:rPr>
          <w:rFonts w:hint="eastAsia" w:ascii="宋体" w:hAnsi="宋体" w:cs="宋体"/>
          <w:kern w:val="0"/>
          <w:szCs w:val="21"/>
        </w:rPr>
        <w:t>或血清学检查</w:t>
      </w:r>
      <w:r>
        <w:rPr>
          <w:rFonts w:hint="eastAsia" w:ascii="宋体" w:hAnsi="宋体" w:cs="宋体"/>
          <w:color w:val="000000"/>
          <w:kern w:val="0"/>
          <w:szCs w:val="21"/>
        </w:rPr>
        <w:t>未查到</w:t>
      </w:r>
      <w:r>
        <w:rPr>
          <w:rFonts w:hint="eastAsia" w:ascii="宋体" w:hAnsi="宋体" w:cs="宋体"/>
          <w:kern w:val="0"/>
          <w:szCs w:val="21"/>
        </w:rPr>
        <w:t>梅毒螺旋体和</w:t>
      </w:r>
      <w:r>
        <w:rPr>
          <w:rFonts w:hint="eastAsia" w:ascii="宋体" w:hAnsi="宋体" w:cs="宋体"/>
          <w:color w:val="000000"/>
          <w:kern w:val="0"/>
          <w:szCs w:val="21"/>
        </w:rPr>
        <w:t>HSV，结合病史及典型临床表现，可作出本病的初步诊断。</w:t>
      </w:r>
    </w:p>
    <w:p>
      <w:pPr>
        <w:widowControl/>
        <w:adjustRightInd w:val="0"/>
        <w:snapToGrid w:val="0"/>
        <w:spacing w:line="500" w:lineRule="exact"/>
        <w:jc w:val="left"/>
        <w:rPr>
          <w:rFonts w:hint="eastAsia" w:ascii="宋体" w:hAnsi="宋体" w:cs="宋体"/>
          <w:color w:val="000000"/>
          <w:kern w:val="0"/>
          <w:szCs w:val="21"/>
        </w:rPr>
      </w:pPr>
      <w:r>
        <w:rPr>
          <w:rFonts w:hint="eastAsia" w:ascii="宋体" w:hAnsi="宋体" w:cs="宋体"/>
          <w:kern w:val="0"/>
          <w:szCs w:val="21"/>
        </w:rPr>
        <w:t>18.2.</w:t>
      </w:r>
      <w:r>
        <w:rPr>
          <w:rFonts w:hint="eastAsia" w:ascii="宋体" w:hAnsi="宋体" w:cs="宋体"/>
          <w:color w:val="000000"/>
          <w:kern w:val="0"/>
          <w:szCs w:val="21"/>
        </w:rPr>
        <w:t>4  性病性淋巴肉芽肿</w:t>
      </w:r>
    </w:p>
    <w:p>
      <w:pPr>
        <w:widowControl/>
        <w:adjustRightInd w:val="0"/>
        <w:snapToGrid w:val="0"/>
        <w:spacing w:line="500" w:lineRule="exact"/>
        <w:ind w:left="420"/>
        <w:jc w:val="left"/>
        <w:rPr>
          <w:rFonts w:hint="eastAsia" w:ascii="宋体" w:hAnsi="宋体" w:cs="宋体"/>
          <w:color w:val="000000"/>
          <w:kern w:val="0"/>
          <w:szCs w:val="21"/>
        </w:rPr>
      </w:pPr>
      <w:r>
        <w:rPr>
          <w:rFonts w:hint="eastAsia" w:ascii="宋体" w:hAnsi="宋体" w:cs="宋体"/>
          <w:color w:val="000000"/>
          <w:kern w:val="0"/>
          <w:szCs w:val="21"/>
        </w:rPr>
        <w:t>1）病史询问要点：</w:t>
      </w:r>
      <w:r>
        <w:rPr>
          <w:rFonts w:hint="eastAsia" w:ascii="宋体" w:hAnsi="宋体" w:cs="宋体"/>
          <w:kern w:val="0"/>
          <w:szCs w:val="21"/>
        </w:rPr>
        <w:t>本病</w:t>
      </w:r>
      <w:r>
        <w:rPr>
          <w:rFonts w:hint="eastAsia" w:ascii="宋体" w:hAnsi="宋体" w:cs="宋体"/>
          <w:color w:val="000000"/>
          <w:kern w:val="0"/>
          <w:szCs w:val="21"/>
        </w:rPr>
        <w:t>潜伏期一般5～21天，应重点询问婚外性接触史、配偶感染史。</w:t>
      </w:r>
    </w:p>
    <w:p>
      <w:pPr>
        <w:widowControl/>
        <w:adjustRightInd w:val="0"/>
        <w:snapToGrid w:val="0"/>
        <w:spacing w:line="5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2）查体要点：本病表现为外生殖器部位的水疱、糜烂、溃疡，特征性病变为腹股沟淋巴结炎（第四性病横痃），晚期可出现生殖器象皮肿及直肠狭窄的临床表现。</w:t>
      </w:r>
    </w:p>
    <w:p>
      <w:pPr>
        <w:widowControl/>
        <w:adjustRightInd w:val="0"/>
        <w:snapToGrid w:val="0"/>
        <w:spacing w:line="500" w:lineRule="exact"/>
        <w:ind w:firstLine="420" w:firstLineChars="200"/>
        <w:jc w:val="left"/>
        <w:rPr>
          <w:rFonts w:hint="eastAsia" w:ascii="宋体" w:hAnsi="宋体" w:cs="宋体"/>
          <w:b/>
          <w:bCs/>
          <w:color w:val="000000"/>
          <w:kern w:val="0"/>
          <w:szCs w:val="21"/>
        </w:rPr>
      </w:pPr>
      <w:r>
        <w:rPr>
          <w:rFonts w:hint="eastAsia" w:ascii="宋体" w:hAnsi="宋体" w:cs="宋体"/>
          <w:color w:val="000000"/>
          <w:kern w:val="0"/>
          <w:szCs w:val="21"/>
        </w:rPr>
        <w:t>3）辅助检查要点：必要时进行相关血清学检查、衣原体培养或组织病理学检查。</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18.2.5  尖锐湿疣</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1）病史询问要点：尖锐湿疣传播途径主要是性接触传染（少数人可由间接接触感染），因此应重点询问婚外性接触史、配偶感染史，既往有无反复发作史及治疗情况。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3）辅助检查要点：一般根据典型表现即可作出诊断。对于不典型者，可作</w:t>
      </w:r>
      <w:r>
        <w:rPr>
          <w:rFonts w:ascii="宋体" w:hAnsi="宋体" w:cs="宋体"/>
          <w:kern w:val="0"/>
          <w:szCs w:val="21"/>
        </w:rPr>
        <w:t>5%</w:t>
      </w:r>
      <w:r>
        <w:rPr>
          <w:rFonts w:hint="eastAsia" w:ascii="宋体" w:hAnsi="宋体" w:cs="宋体"/>
          <w:kern w:val="0"/>
          <w:szCs w:val="21"/>
        </w:rPr>
        <w:t>醋酸试验，以进一步确诊。应注意与扁平湿疣（属于二期梅毒疹）、假性湿疣及阴茎珍珠状丘疹等相鉴别。</w:t>
      </w:r>
    </w:p>
    <w:p>
      <w:pPr>
        <w:widowControl/>
        <w:adjustRightInd w:val="0"/>
        <w:snapToGrid w:val="0"/>
        <w:spacing w:line="500" w:lineRule="exact"/>
        <w:ind w:firstLine="420" w:firstLineChars="200"/>
        <w:jc w:val="left"/>
        <w:rPr>
          <w:rFonts w:hint="eastAsia" w:ascii="宋体" w:hAnsi="宋体" w:cs="宋体"/>
          <w:kern w:val="0"/>
          <w:szCs w:val="21"/>
        </w:rPr>
      </w:pPr>
      <w:r>
        <w:rPr>
          <w:rFonts w:ascii="宋体" w:hAnsi="宋体" w:cs="宋体"/>
          <w:kern w:val="0"/>
          <w:szCs w:val="21"/>
        </w:rPr>
        <w:t>5%</w:t>
      </w:r>
      <w:r>
        <w:rPr>
          <w:rFonts w:hint="eastAsia" w:ascii="宋体" w:hAnsi="宋体" w:cs="宋体"/>
          <w:kern w:val="0"/>
          <w:szCs w:val="21"/>
        </w:rPr>
        <w:t>醋酸试验：又称醋酸白试验，在可疑的受损皮肤上用5%醋酸液涂抹或敷贴，3～5分钟后受损皮肤局部发白为阳性。</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18.2.6  生殖器疱疹</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1）病史询问要点：生殖器疱疹传播途径主要为性接触传染，潜伏期为6天左右，因此应重点询问婚外性接触史、配偶感染史，有无反复发作史及治疗情况。</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3）辅助检查要点：一般根据病史、典型临床表现即可作出诊断。对于临床表现不典型者，必要时可作血清HSV</w:t>
      </w:r>
      <w:r>
        <w:rPr>
          <w:rFonts w:hint="eastAsia" w:cs="宋体"/>
          <w:kern w:val="0"/>
          <w:szCs w:val="21"/>
        </w:rPr>
        <w:t>检测等</w:t>
      </w:r>
      <w:r>
        <w:rPr>
          <w:rFonts w:hint="eastAsia" w:ascii="宋体" w:hAnsi="宋体" w:cs="宋体"/>
          <w:kern w:val="0"/>
          <w:szCs w:val="21"/>
        </w:rPr>
        <w:t>实验室检查</w:t>
      </w:r>
      <w:r>
        <w:rPr>
          <w:rFonts w:hint="eastAsia" w:cs="宋体"/>
          <w:kern w:val="0"/>
          <w:szCs w:val="21"/>
        </w:rPr>
        <w:t>，</w:t>
      </w:r>
      <w:r>
        <w:rPr>
          <w:rFonts w:hint="eastAsia" w:ascii="宋体" w:hAnsi="宋体" w:cs="宋体"/>
          <w:kern w:val="0"/>
          <w:szCs w:val="21"/>
        </w:rPr>
        <w:t>以进一步确诊。</w:t>
      </w:r>
    </w:p>
    <w:p>
      <w:pPr>
        <w:widowControl/>
        <w:adjustRightInd w:val="0"/>
        <w:snapToGrid w:val="0"/>
        <w:spacing w:line="500" w:lineRule="exact"/>
        <w:jc w:val="left"/>
        <w:rPr>
          <w:rFonts w:hint="eastAsia" w:ascii="宋体" w:hAnsi="宋体" w:cs="宋体"/>
          <w:kern w:val="0"/>
          <w:szCs w:val="21"/>
        </w:rPr>
      </w:pPr>
      <w:r>
        <w:rPr>
          <w:rFonts w:hint="eastAsia" w:ascii="宋体" w:hAnsi="宋体" w:cs="宋体"/>
          <w:kern w:val="0"/>
          <w:szCs w:val="21"/>
        </w:rPr>
        <w:t>18.2.7  艾滋病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2）查体要点：注意检查生殖器部位的皮肤黏膜有无异常，有无赘生物、水疱、溃疡，有无全身淋巴结肿大、肝脾肿大、鹅口疮、口腔黏膜白斑病或皮肤黏膜损害。</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HIV抗体测定应注意有可能出现如下情况：①假阴性，往往发生在抗体还未出现的感染早期（窗口期）。②假阳性，发生率极低，可能与受检者血液中存在可以与HIV起交叉反应的抗体有关。</w:t>
      </w:r>
    </w:p>
    <w:p>
      <w:pPr>
        <w:widowControl/>
        <w:adjustRightInd w:val="0"/>
        <w:snapToGrid w:val="0"/>
        <w:spacing w:line="500" w:lineRule="exact"/>
        <w:jc w:val="left"/>
        <w:outlineLvl w:val="0"/>
        <w:rPr>
          <w:rFonts w:hint="eastAsia" w:ascii="黑体" w:hAnsi="宋体" w:eastAsia="黑体" w:cs="宋体"/>
          <w:b/>
          <w:bCs/>
          <w:color w:val="000000"/>
          <w:kern w:val="0"/>
          <w:szCs w:val="21"/>
        </w:rPr>
      </w:pPr>
      <w:r>
        <w:rPr>
          <w:rFonts w:hint="eastAsia" w:ascii="黑体" w:hAnsi="宋体" w:eastAsia="黑体" w:cs="宋体"/>
          <w:b/>
          <w:bCs/>
          <w:kern w:val="0"/>
          <w:szCs w:val="21"/>
        </w:rPr>
        <w:t>18.3  注意事项</w:t>
      </w:r>
    </w:p>
    <w:p>
      <w:pPr>
        <w:widowControl/>
        <w:adjustRightInd w:val="0"/>
        <w:snapToGrid w:val="0"/>
        <w:spacing w:line="5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1）性传播疾病的种类繁多，在体检操作中应以《标准》条款中提到的7种疾病为准。</w:t>
      </w:r>
    </w:p>
    <w:p>
      <w:pPr>
        <w:widowControl/>
        <w:adjustRightInd w:val="0"/>
        <w:snapToGrid w:val="0"/>
        <w:spacing w:line="5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2）体检中以询问病史和体征检查为主，可疑者请专科医师会诊或进行相关实验室检查，诊断要慎重。</w:t>
      </w:r>
    </w:p>
    <w:p>
      <w:pPr>
        <w:widowControl/>
        <w:adjustRightInd w:val="0"/>
        <w:snapToGrid w:val="0"/>
        <w:spacing w:line="5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3）注意保护受检者的隐私。</w:t>
      </w:r>
    </w:p>
    <w:p>
      <w:pPr>
        <w:adjustRightInd w:val="0"/>
        <w:snapToGrid w:val="0"/>
        <w:spacing w:line="500" w:lineRule="exact"/>
        <w:ind w:firstLine="420" w:firstLineChars="200"/>
        <w:rPr>
          <w:color w:val="000000"/>
          <w:szCs w:val="21"/>
        </w:rPr>
      </w:pPr>
    </w:p>
    <w:p>
      <w:pPr>
        <w:pStyle w:val="3"/>
        <w:adjustRightInd w:val="0"/>
        <w:snapToGrid w:val="0"/>
        <w:spacing w:before="0" w:after="0" w:line="500" w:lineRule="exact"/>
        <w:rPr>
          <w:rFonts w:hint="eastAsia" w:ascii="黑体" w:hAnsi="黑体" w:eastAsia="黑体" w:cs="黑体"/>
          <w:sz w:val="21"/>
          <w:szCs w:val="21"/>
        </w:rPr>
      </w:pPr>
      <w:bookmarkStart w:id="24" w:name="_Toc391888340"/>
      <w:r>
        <w:rPr>
          <w:rFonts w:hint="eastAsia" w:ascii="黑体" w:hAnsi="黑体" w:eastAsia="黑体" w:cs="黑体"/>
          <w:sz w:val="21"/>
          <w:szCs w:val="21"/>
        </w:rPr>
        <w:t>19  关于视力及眼科疾病</w:t>
      </w:r>
      <w:bookmarkEnd w:id="24"/>
    </w:p>
    <w:p>
      <w:pPr>
        <w:adjustRightInd w:val="0"/>
        <w:snapToGrid w:val="0"/>
        <w:spacing w:line="500" w:lineRule="exact"/>
        <w:rPr>
          <w:rFonts w:eastAsia="楷体_GB2312"/>
          <w:b/>
          <w:bCs/>
          <w:color w:val="000000"/>
          <w:szCs w:val="21"/>
        </w:rPr>
      </w:pPr>
      <w:r>
        <w:rPr>
          <w:rFonts w:eastAsia="楷体_GB2312"/>
          <w:b/>
          <w:bCs/>
          <w:color w:val="000000"/>
          <w:szCs w:val="21"/>
        </w:rPr>
        <w:t xml:space="preserve">    第十</w:t>
      </w:r>
      <w:r>
        <w:rPr>
          <w:rFonts w:hint="eastAsia" w:eastAsia="楷体_GB2312"/>
          <w:b/>
          <w:bCs/>
          <w:color w:val="000000"/>
          <w:szCs w:val="21"/>
        </w:rPr>
        <w:t>九</w:t>
      </w:r>
      <w:r>
        <w:rPr>
          <w:rFonts w:eastAsia="楷体_GB2312"/>
          <w:b/>
          <w:bCs/>
          <w:color w:val="000000"/>
          <w:szCs w:val="21"/>
        </w:rPr>
        <w:t>条  双眼矫正视力均低于4.8（小数视力0.6）</w:t>
      </w:r>
      <w:r>
        <w:rPr>
          <w:rFonts w:hint="eastAsia" w:eastAsia="楷体_GB2312"/>
          <w:b/>
          <w:bCs/>
          <w:color w:val="000000"/>
          <w:szCs w:val="21"/>
        </w:rPr>
        <w:t>，</w:t>
      </w:r>
      <w:r>
        <w:rPr>
          <w:rFonts w:eastAsia="楷体_GB2312"/>
          <w:b/>
          <w:bCs/>
          <w:color w:val="000000"/>
          <w:szCs w:val="21"/>
        </w:rPr>
        <w:t>一眼失明另一眼矫正视力低于4.9（小数视力0.8）</w:t>
      </w:r>
      <w:r>
        <w:rPr>
          <w:rFonts w:hint="eastAsia" w:eastAsia="楷体_GB2312"/>
          <w:b/>
          <w:bCs/>
          <w:color w:val="000000"/>
          <w:szCs w:val="21"/>
        </w:rPr>
        <w:t>，</w:t>
      </w:r>
      <w:r>
        <w:rPr>
          <w:rFonts w:eastAsia="楷体_GB2312"/>
          <w:b/>
          <w:bCs/>
          <w:color w:val="000000"/>
          <w:szCs w:val="21"/>
        </w:rPr>
        <w:t>有明显视功能损害眼病者，不合格。</w:t>
      </w:r>
    </w:p>
    <w:p>
      <w:pPr>
        <w:adjustRightInd w:val="0"/>
        <w:snapToGrid w:val="0"/>
        <w:spacing w:line="500" w:lineRule="exact"/>
        <w:rPr>
          <w:rFonts w:hint="eastAsia" w:ascii="宋体" w:hAnsi="宋体" w:cs="宋体"/>
          <w:b/>
          <w:bCs/>
          <w:szCs w:val="21"/>
        </w:rPr>
      </w:pPr>
      <w:r>
        <w:rPr>
          <w:rFonts w:hint="eastAsia" w:eastAsia="黑体"/>
          <w:b/>
          <w:bCs/>
          <w:szCs w:val="21"/>
        </w:rPr>
        <w:t xml:space="preserve">  </w:t>
      </w:r>
      <w:r>
        <w:rPr>
          <w:rFonts w:hint="eastAsia" w:ascii="宋体" w:hAnsi="宋体" w:cs="宋体"/>
          <w:b/>
          <w:bCs/>
          <w:szCs w:val="21"/>
        </w:rPr>
        <w:t xml:space="preserve">  19.1  条文解释</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是以视野检查结果为依据。</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 xml:space="preserve">.1.3  视功能 </w:t>
      </w:r>
      <w:r>
        <w:rPr>
          <w:rFonts w:hint="eastAsia"/>
          <w:color w:val="000000"/>
          <w:szCs w:val="21"/>
        </w:rPr>
        <w:t xml:space="preserve"> </w:t>
      </w:r>
      <w:r>
        <w:rPr>
          <w:szCs w:val="21"/>
        </w:rPr>
        <w:t>包括视力、色觉、视野、暗适应、立体视觉，等等，在公务员录用体检中，视力及色觉是常规检查项目。</w:t>
      </w:r>
    </w:p>
    <w:p>
      <w:pPr>
        <w:adjustRightInd w:val="0"/>
        <w:snapToGrid w:val="0"/>
        <w:spacing w:line="500" w:lineRule="exact"/>
        <w:ind w:firstLine="420" w:firstLineChars="200"/>
        <w:rPr>
          <w:color w:val="000000"/>
          <w:szCs w:val="21"/>
        </w:rPr>
      </w:pPr>
      <w:r>
        <w:rPr>
          <w:color w:val="000000"/>
          <w:szCs w:val="21"/>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adjustRightInd w:val="0"/>
        <w:snapToGrid w:val="0"/>
        <w:spacing w:line="500" w:lineRule="exact"/>
        <w:ind w:firstLine="420" w:firstLineChars="200"/>
        <w:rPr>
          <w:color w:val="000000"/>
          <w:szCs w:val="21"/>
        </w:rPr>
      </w:pPr>
      <w:r>
        <w:rPr>
          <w:color w:val="000000"/>
          <w:szCs w:val="21"/>
        </w:rPr>
        <w:t>2）色觉功能：是指眼对颜色的辨别能力。利用色觉检查图谱上不同的色彩图可以诊断各种色觉异常。色觉异常分为先天性和后天性两种，体检主要以筛查先天性色觉异常为目的。先天性色觉异常是一种性连锁隐性遗传性疾病（隔代遗传，即男性通过女儿传给外孙），一般而言，色弱、色盲，由于其并不影响视力，且为静止性眼病，故在公务员录用体检中，除了需要严格正确的辨色功能的特殊职位外，一般职位应作合格结论。</w:t>
      </w:r>
    </w:p>
    <w:p>
      <w:pPr>
        <w:adjustRightInd w:val="0"/>
        <w:snapToGrid w:val="0"/>
        <w:spacing w:line="500" w:lineRule="exact"/>
        <w:ind w:firstLine="420" w:firstLineChars="200"/>
        <w:rPr>
          <w:szCs w:val="21"/>
        </w:rPr>
      </w:pPr>
      <w:r>
        <w:rPr>
          <w:szCs w:val="21"/>
        </w:rPr>
        <w:t xml:space="preserve">但对完全单色识别能力异常（不能识别红、黄、绿、蓝、紫各种卡片），即全色盲者，应属于有明显视功能损害眼病，且影响履行公务员职责，只要诊断明确，即作不合格结论。 </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.1.4  对本条款的理解  本条款实际含义是，即使视力合格但若同时患有明显的视功能损害眼病，仍按不合格处理。明显的视功能损害眼病是指反复发作、进行性发展、治疗困难、预后差、最终可导致视力合格眼矫正视力低于本条标准规定的眼病，主要见于以下3种情况</w:t>
      </w:r>
      <w:r>
        <w:rPr>
          <w:szCs w:val="21"/>
        </w:rPr>
        <w:t>：</w:t>
      </w:r>
    </w:p>
    <w:p>
      <w:pPr>
        <w:adjustRightInd w:val="0"/>
        <w:snapToGrid w:val="0"/>
        <w:spacing w:line="500" w:lineRule="exact"/>
        <w:ind w:firstLine="420" w:firstLineChars="200"/>
        <w:rPr>
          <w:color w:val="000000"/>
          <w:szCs w:val="21"/>
        </w:rPr>
      </w:pPr>
      <w:r>
        <w:rPr>
          <w:color w:val="000000"/>
          <w:szCs w:val="21"/>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adjustRightInd w:val="0"/>
        <w:snapToGrid w:val="0"/>
        <w:spacing w:line="500" w:lineRule="exact"/>
        <w:ind w:firstLine="420" w:firstLineChars="200"/>
        <w:rPr>
          <w:color w:val="000000"/>
          <w:szCs w:val="21"/>
        </w:rPr>
      </w:pPr>
      <w:r>
        <w:rPr>
          <w:color w:val="000000"/>
          <w:szCs w:val="21"/>
        </w:rPr>
        <w:t>⑴交感性眼炎：是指发生于一眼穿通伤后、以双眼肉芽肿性色素膜炎为特点的眼病。受伤眼称为诱发眼，另一眼则称为交感眼。其发病机制可能和自身免疫有关。发病可在外伤或手术后任何时候，但多发生在两周至两月内。发病隐袭，以全葡萄膜炎为多见，临床表现与Vogt-小柳原田综合征相似。本病治疗困难，按体检不合格对待。</w:t>
      </w:r>
    </w:p>
    <w:p>
      <w:pPr>
        <w:adjustRightInd w:val="0"/>
        <w:snapToGrid w:val="0"/>
        <w:spacing w:line="500" w:lineRule="exact"/>
        <w:ind w:firstLine="420" w:firstLineChars="200"/>
        <w:rPr>
          <w:color w:val="000000"/>
          <w:szCs w:val="21"/>
        </w:rPr>
      </w:pPr>
      <w:r>
        <w:rPr>
          <w:color w:val="000000"/>
          <w:szCs w:val="21"/>
        </w:rPr>
        <w:t>⑵青光眼：是一组以眼内压升高引起的视乳头损害和视野缺损为特点的眼病，是目前主要致盲性眼病，发病有一定的遗传趋向。青光眼种类很多，针对公务员录用的年龄特点，重点说明以下两种常见类型</w:t>
      </w:r>
      <w:r>
        <w:rPr>
          <w:szCs w:val="21"/>
        </w:rPr>
        <w:t>：</w:t>
      </w:r>
    </w:p>
    <w:p>
      <w:pPr>
        <w:adjustRightInd w:val="0"/>
        <w:snapToGrid w:val="0"/>
        <w:spacing w:line="500" w:lineRule="exact"/>
        <w:ind w:firstLine="420" w:firstLineChars="200"/>
        <w:rPr>
          <w:color w:val="000000"/>
          <w:szCs w:val="21"/>
        </w:rPr>
      </w:pPr>
      <w:r>
        <w:rPr>
          <w:color w:val="000000"/>
          <w:szCs w:val="21"/>
        </w:rPr>
        <w:t>①慢性单纯性青光眼：属于开角性青光眼。本病双眼发病，发病隐匿，多数人无明显症状，常常在不知不觉中完全丧失视功能，临床上很大程度依靠体检才能发现。对体检中发现的视乳头杯盘比值（杯直径与视盘直径的比值，C/D）增大者，必须做进一步的青光眼排除检查。</w:t>
      </w:r>
    </w:p>
    <w:p>
      <w:pPr>
        <w:adjustRightInd w:val="0"/>
        <w:snapToGrid w:val="0"/>
        <w:spacing w:line="500" w:lineRule="exact"/>
        <w:ind w:firstLine="420" w:firstLineChars="200"/>
        <w:rPr>
          <w:color w:val="000000"/>
          <w:szCs w:val="21"/>
        </w:rPr>
      </w:pPr>
      <w:r>
        <w:rPr>
          <w:color w:val="000000"/>
          <w:szCs w:val="21"/>
        </w:rPr>
        <w:t xml:space="preserve">②正常眼压性青光眼：正常眼压为在10～21 </w:t>
      </w:r>
      <w:r>
        <w:rPr>
          <w:rFonts w:hint="eastAsia"/>
          <w:color w:val="000000"/>
          <w:szCs w:val="21"/>
        </w:rPr>
        <w:t>mm</w:t>
      </w:r>
      <w:r>
        <w:rPr>
          <w:color w:val="000000"/>
          <w:szCs w:val="21"/>
        </w:rPr>
        <w:t xml:space="preserve"> Hg。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的可疑病例，也应进一步做青光眼排除检查。</w:t>
      </w:r>
    </w:p>
    <w:p>
      <w:pPr>
        <w:adjustRightInd w:val="0"/>
        <w:snapToGrid w:val="0"/>
        <w:spacing w:line="500" w:lineRule="exact"/>
        <w:ind w:firstLine="420" w:firstLineChars="200"/>
        <w:rPr>
          <w:color w:val="000000"/>
          <w:szCs w:val="21"/>
        </w:rPr>
      </w:pPr>
      <w:r>
        <w:rPr>
          <w:color w:val="000000"/>
          <w:szCs w:val="21"/>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adjustRightInd w:val="0"/>
        <w:snapToGrid w:val="0"/>
        <w:spacing w:line="500" w:lineRule="exact"/>
        <w:ind w:firstLine="420" w:firstLineChars="200"/>
        <w:rPr>
          <w:color w:val="000000"/>
          <w:szCs w:val="21"/>
        </w:rPr>
      </w:pPr>
      <w:r>
        <w:rPr>
          <w:color w:val="000000"/>
          <w:szCs w:val="21"/>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adjustRightInd w:val="0"/>
        <w:snapToGrid w:val="0"/>
        <w:spacing w:line="500" w:lineRule="exact"/>
        <w:ind w:firstLine="420" w:firstLineChars="200"/>
        <w:rPr>
          <w:color w:val="000000"/>
          <w:szCs w:val="21"/>
        </w:rPr>
      </w:pPr>
      <w:r>
        <w:rPr>
          <w:color w:val="000000"/>
          <w:szCs w:val="21"/>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adjustRightInd w:val="0"/>
        <w:snapToGrid w:val="0"/>
        <w:spacing w:line="500" w:lineRule="exact"/>
        <w:ind w:firstLine="420" w:firstLineChars="200"/>
        <w:rPr>
          <w:color w:val="000000"/>
          <w:szCs w:val="21"/>
        </w:rPr>
      </w:pPr>
      <w:r>
        <w:rPr>
          <w:color w:val="000000"/>
          <w:szCs w:val="21"/>
        </w:rPr>
        <w:t xml:space="preserve">⑹视网膜色素变性：是一种以夜盲、视野缩小和眼底骨细胞样色素沉着为特征的双眼进行性遗传性眼病。发病越早，预后越差。眼底病变典型者体检可确诊。 </w:t>
      </w:r>
    </w:p>
    <w:p>
      <w:pPr>
        <w:adjustRightInd w:val="0"/>
        <w:snapToGrid w:val="0"/>
        <w:spacing w:line="500" w:lineRule="exact"/>
        <w:ind w:firstLine="420" w:firstLineChars="200"/>
        <w:rPr>
          <w:color w:val="000000"/>
          <w:szCs w:val="21"/>
        </w:rPr>
      </w:pPr>
      <w:r>
        <w:rPr>
          <w:color w:val="000000"/>
          <w:szCs w:val="21"/>
        </w:rPr>
        <w:t>2）仅一眼视力合格，而该眼自身却患有可使视力继续下降的器质性眼病。例如受检者一眼失明，另一眼矫正视力为4.9，但同时伴早期单纯疱疹病毒性角膜炎，这种情况应按不合格处理。临床上可致单眼视功能明显受损的眼病很多，可归纳为角膜病、色素膜病、玻璃体病、眼底病、视神经病等几大类。通过裂隙灯、检眼镜检查一般多能发现并作出初步诊断。</w:t>
      </w:r>
    </w:p>
    <w:p>
      <w:pPr>
        <w:adjustRightInd w:val="0"/>
        <w:snapToGrid w:val="0"/>
        <w:spacing w:line="500" w:lineRule="exact"/>
        <w:ind w:firstLine="420"/>
        <w:rPr>
          <w:color w:val="000000"/>
          <w:szCs w:val="21"/>
        </w:rPr>
      </w:pPr>
      <w:r>
        <w:rPr>
          <w:color w:val="000000"/>
          <w:szCs w:val="21"/>
        </w:rPr>
        <w:t>3）双眼视力均合格，但发现与全身疾病相关的眼部病变，如糖尿病性眼部并发症，特别是糖尿病性视网膜病变，应结合全身疾病情况作出体检结论。</w:t>
      </w:r>
    </w:p>
    <w:p>
      <w:pPr>
        <w:adjustRightInd w:val="0"/>
        <w:snapToGrid w:val="0"/>
        <w:spacing w:line="500" w:lineRule="exact"/>
        <w:ind w:firstLine="420"/>
        <w:rPr>
          <w:color w:val="000000"/>
          <w:szCs w:val="21"/>
        </w:rPr>
      </w:pPr>
      <w:r>
        <w:rPr>
          <w:color w:val="000000"/>
          <w:szCs w:val="21"/>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adjustRightInd w:val="0"/>
        <w:snapToGrid w:val="0"/>
        <w:spacing w:line="500" w:lineRule="exact"/>
        <w:rPr>
          <w:rFonts w:hint="eastAsia" w:ascii="宋体" w:hAnsi="宋体" w:cs="宋体"/>
          <w:b/>
          <w:bCs/>
          <w:color w:val="000000"/>
          <w:szCs w:val="21"/>
        </w:rPr>
      </w:pPr>
      <w:r>
        <w:rPr>
          <w:rFonts w:hint="eastAsia" w:eastAsia="黑体"/>
          <w:b/>
          <w:bCs/>
          <w:szCs w:val="21"/>
        </w:rPr>
        <w:t xml:space="preserve">   </w:t>
      </w:r>
      <w:r>
        <w:rPr>
          <w:rFonts w:hint="eastAsia" w:ascii="宋体" w:hAnsi="宋体" w:cs="宋体"/>
          <w:b/>
          <w:bCs/>
          <w:szCs w:val="21"/>
        </w:rPr>
        <w:t xml:space="preserve"> 19.2  诊断要点</w:t>
      </w:r>
    </w:p>
    <w:p>
      <w:pPr>
        <w:adjustRightInd w:val="0"/>
        <w:snapToGrid w:val="0"/>
        <w:spacing w:line="500" w:lineRule="exact"/>
        <w:ind w:firstLine="420" w:firstLineChars="200"/>
        <w:rPr>
          <w:color w:val="000000"/>
          <w:szCs w:val="21"/>
        </w:rPr>
      </w:pPr>
      <w:r>
        <w:rPr>
          <w:color w:val="000000"/>
          <w:szCs w:val="21"/>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Schiotz压陷眼压计、手持压平眼压计或Gold</w:t>
      </w:r>
      <w:r>
        <w:rPr>
          <w:rFonts w:hint="eastAsia"/>
          <w:color w:val="000000"/>
          <w:szCs w:val="21"/>
        </w:rPr>
        <w:t>m</w:t>
      </w:r>
      <w:r>
        <w:rPr>
          <w:color w:val="000000"/>
          <w:szCs w:val="21"/>
        </w:rPr>
        <w:t>ann压平眼压计；视野检查可用弓形视野计或Gold</w:t>
      </w:r>
      <w:r>
        <w:rPr>
          <w:rFonts w:hint="eastAsia"/>
          <w:color w:val="000000"/>
          <w:szCs w:val="21"/>
        </w:rPr>
        <w:t>m</w:t>
      </w:r>
      <w:r>
        <w:rPr>
          <w:color w:val="000000"/>
          <w:szCs w:val="21"/>
        </w:rPr>
        <w:t>ann视野计，必要时应用计算机自动视野计；眼底病可做眼底血管造影检查；视神经和视路疾病的判断可做视觉诱发电位（VEP）检查等。</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.2.1  交感性眼炎</w:t>
      </w:r>
    </w:p>
    <w:p>
      <w:pPr>
        <w:adjustRightInd w:val="0"/>
        <w:snapToGrid w:val="0"/>
        <w:spacing w:line="500" w:lineRule="exact"/>
        <w:ind w:firstLine="420" w:firstLineChars="200"/>
        <w:rPr>
          <w:color w:val="000000"/>
          <w:szCs w:val="21"/>
        </w:rPr>
      </w:pPr>
      <w:r>
        <w:rPr>
          <w:color w:val="000000"/>
          <w:szCs w:val="21"/>
        </w:rPr>
        <w:t>1）病史询问要点：一眼有穿通伤病史或内眼手术史，注意眼外伤的时间、治疗情况。</w:t>
      </w:r>
    </w:p>
    <w:p>
      <w:pPr>
        <w:adjustRightInd w:val="0"/>
        <w:snapToGrid w:val="0"/>
        <w:spacing w:line="500" w:lineRule="exact"/>
        <w:ind w:firstLine="420" w:firstLineChars="200"/>
        <w:rPr>
          <w:color w:val="000000"/>
          <w:szCs w:val="21"/>
        </w:rPr>
      </w:pPr>
      <w:r>
        <w:rPr>
          <w:color w:val="000000"/>
          <w:szCs w:val="21"/>
        </w:rPr>
        <w:t>2）查体要点：注意眼部体征，一般眼外伤后2～8周左右受伤眼仍有活动性炎症表现，且健眼有角膜后沉淀物、房水混浊、玻璃体混浊等色素膜炎体征。</w:t>
      </w:r>
    </w:p>
    <w:p>
      <w:pPr>
        <w:adjustRightInd w:val="0"/>
        <w:snapToGrid w:val="0"/>
        <w:spacing w:line="500" w:lineRule="exact"/>
        <w:ind w:firstLine="420" w:firstLineChars="200"/>
        <w:rPr>
          <w:color w:val="000000"/>
          <w:szCs w:val="21"/>
        </w:rPr>
      </w:pPr>
      <w:r>
        <w:rPr>
          <w:color w:val="000000"/>
          <w:szCs w:val="21"/>
        </w:rPr>
        <w:t>3）辅助检查要点：有上述表现者应高度怀疑，并及时组织会诊协助诊断。</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.2.2  慢性单纯性青光眼</w:t>
      </w:r>
    </w:p>
    <w:p>
      <w:pPr>
        <w:adjustRightInd w:val="0"/>
        <w:snapToGrid w:val="0"/>
        <w:spacing w:line="500" w:lineRule="exact"/>
        <w:ind w:firstLine="420" w:firstLineChars="200"/>
        <w:rPr>
          <w:color w:val="000000"/>
          <w:szCs w:val="21"/>
        </w:rPr>
      </w:pPr>
      <w:r>
        <w:rPr>
          <w:color w:val="000000"/>
          <w:szCs w:val="21"/>
        </w:rPr>
        <w:t>1）病史询问要点：家庭成员中有无患类似眼病者，有无患侧头痛、患眼发胀、雾视等症状。</w:t>
      </w:r>
    </w:p>
    <w:p>
      <w:pPr>
        <w:adjustRightInd w:val="0"/>
        <w:snapToGrid w:val="0"/>
        <w:spacing w:line="500" w:lineRule="exact"/>
        <w:ind w:firstLine="420" w:firstLineChars="200"/>
        <w:rPr>
          <w:color w:val="000000"/>
          <w:szCs w:val="21"/>
        </w:rPr>
      </w:pPr>
      <w:r>
        <w:rPr>
          <w:color w:val="000000"/>
          <w:szCs w:val="21"/>
        </w:rPr>
        <w:t>2）查体要点：眼底检查可见青光眼特征性的视盘损害：视盘凹陷大而深（C/D比值≥0.6）；上下方盘缘变窄；双侧视盘不对称，双眼C/D比值的差值＞0.2。</w:t>
      </w:r>
    </w:p>
    <w:p>
      <w:pPr>
        <w:adjustRightInd w:val="0"/>
        <w:snapToGrid w:val="0"/>
        <w:spacing w:line="500" w:lineRule="exact"/>
        <w:ind w:firstLine="420" w:firstLineChars="200"/>
        <w:rPr>
          <w:color w:val="000000"/>
          <w:szCs w:val="21"/>
        </w:rPr>
      </w:pPr>
      <w:r>
        <w:rPr>
          <w:color w:val="000000"/>
          <w:szCs w:val="21"/>
        </w:rPr>
        <w:t>3）辅助检查要点：有上述可疑体征者应进一步检查，包括至少连续3天测单次眼压、24小时眼压曲线和视野检查，应注明使用的眼压计和视野计类型，以供分析判断。要求使用Schiotz压陷眼压计、手持压平眼压计或Gold</w:t>
      </w:r>
      <w:r>
        <w:rPr>
          <w:rFonts w:hint="eastAsia"/>
          <w:color w:val="000000"/>
          <w:szCs w:val="21"/>
        </w:rPr>
        <w:t>m</w:t>
      </w:r>
      <w:r>
        <w:rPr>
          <w:color w:val="000000"/>
          <w:szCs w:val="21"/>
        </w:rPr>
        <w:t>ann压平眼压计。对高度怀疑者可做计算机自动视野计检查，可大大提高青光眼早期视野改变的诊断率。</w:t>
      </w:r>
    </w:p>
    <w:p>
      <w:pPr>
        <w:adjustRightInd w:val="0"/>
        <w:snapToGrid w:val="0"/>
        <w:spacing w:line="500" w:lineRule="exact"/>
        <w:ind w:firstLine="420" w:firstLineChars="200"/>
        <w:rPr>
          <w:color w:val="000000"/>
          <w:szCs w:val="21"/>
        </w:rPr>
      </w:pPr>
      <w:r>
        <w:rPr>
          <w:color w:val="000000"/>
          <w:szCs w:val="21"/>
        </w:rPr>
        <w:t>眼压升高、视盘损害和视野缺损是慢性单纯性青光眼的三大诊断指标，其中2项阳性，即可作出诊断。</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.2.3  正常眼压性青光眼</w:t>
      </w:r>
    </w:p>
    <w:p>
      <w:pPr>
        <w:adjustRightInd w:val="0"/>
        <w:snapToGrid w:val="0"/>
        <w:spacing w:line="500" w:lineRule="exact"/>
        <w:ind w:firstLine="420" w:firstLineChars="200"/>
        <w:rPr>
          <w:color w:val="000000"/>
          <w:szCs w:val="21"/>
        </w:rPr>
      </w:pPr>
      <w:r>
        <w:rPr>
          <w:color w:val="000000"/>
          <w:szCs w:val="21"/>
        </w:rPr>
        <w:t>1）病史询问要点：家庭成员中有无患类似眼病者，有无患侧头痛、患眼发胀、雾视等症状。</w:t>
      </w:r>
    </w:p>
    <w:p>
      <w:pPr>
        <w:adjustRightInd w:val="0"/>
        <w:snapToGrid w:val="0"/>
        <w:spacing w:line="500" w:lineRule="exact"/>
        <w:ind w:firstLine="420" w:firstLineChars="200"/>
        <w:rPr>
          <w:color w:val="000000"/>
          <w:szCs w:val="21"/>
        </w:rPr>
      </w:pPr>
      <w:r>
        <w:rPr>
          <w:color w:val="000000"/>
          <w:szCs w:val="21"/>
        </w:rPr>
        <w:t>2）查体要点：眼底检查可见青光眼特征性的视盘损害（同慢性单纯性青光眼）。</w:t>
      </w:r>
    </w:p>
    <w:p>
      <w:pPr>
        <w:adjustRightInd w:val="0"/>
        <w:snapToGrid w:val="0"/>
        <w:spacing w:line="500" w:lineRule="exact"/>
        <w:ind w:firstLine="420" w:firstLineChars="200"/>
        <w:rPr>
          <w:color w:val="000000"/>
          <w:szCs w:val="21"/>
        </w:rPr>
      </w:pPr>
      <w:r>
        <w:rPr>
          <w:color w:val="000000"/>
          <w:szCs w:val="21"/>
        </w:rPr>
        <w:t xml:space="preserve">3）辅助检查要点：视野检查同慢性单纯性青光眼；眼压正常，校正眼压也在正常范围内；24小时眼压曲线：眼压波动＞8 </w:t>
      </w:r>
      <w:r>
        <w:rPr>
          <w:rFonts w:hint="eastAsia"/>
          <w:color w:val="000000"/>
          <w:szCs w:val="21"/>
        </w:rPr>
        <w:t>mm</w:t>
      </w:r>
      <w:r>
        <w:rPr>
          <w:color w:val="000000"/>
          <w:szCs w:val="21"/>
        </w:rPr>
        <w:t xml:space="preserve"> Hg。</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.2.4  Vogt-小柳原田综合征</w:t>
      </w:r>
    </w:p>
    <w:p>
      <w:pPr>
        <w:adjustRightInd w:val="0"/>
        <w:snapToGrid w:val="0"/>
        <w:spacing w:line="500" w:lineRule="exact"/>
        <w:ind w:firstLine="420" w:firstLineChars="200"/>
        <w:rPr>
          <w:color w:val="000000"/>
          <w:szCs w:val="21"/>
        </w:rPr>
      </w:pPr>
      <w:r>
        <w:rPr>
          <w:color w:val="000000"/>
          <w:szCs w:val="21"/>
        </w:rPr>
        <w:t>1）病史询问要点：发病前多有感冒样或其他前驱症状，如头痛、耳鸣、听力下降或头皮过敏等。</w:t>
      </w:r>
    </w:p>
    <w:p>
      <w:pPr>
        <w:adjustRightInd w:val="0"/>
        <w:snapToGrid w:val="0"/>
        <w:spacing w:line="500" w:lineRule="exact"/>
        <w:ind w:firstLine="420" w:firstLineChars="200"/>
        <w:rPr>
          <w:color w:val="000000"/>
          <w:szCs w:val="21"/>
        </w:rPr>
      </w:pPr>
      <w:r>
        <w:rPr>
          <w:color w:val="000000"/>
          <w:szCs w:val="21"/>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adjustRightInd w:val="0"/>
        <w:snapToGrid w:val="0"/>
        <w:spacing w:line="500" w:lineRule="exact"/>
        <w:ind w:firstLine="420" w:firstLineChars="200"/>
        <w:rPr>
          <w:color w:val="000000"/>
          <w:szCs w:val="21"/>
        </w:rPr>
      </w:pPr>
      <w:r>
        <w:rPr>
          <w:color w:val="000000"/>
          <w:szCs w:val="21"/>
        </w:rPr>
        <w:t>3）辅助检查要点：通过上述表现即可诊断，一般不需再作其他辅助检查。Vogt-小柳原田综合征的眼部表现与交感性眼炎相似，二者主要通过病史和全身体征相鉴别。</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.2.5  Behcet病</w:t>
      </w:r>
    </w:p>
    <w:p>
      <w:pPr>
        <w:adjustRightInd w:val="0"/>
        <w:snapToGrid w:val="0"/>
        <w:spacing w:line="500" w:lineRule="exact"/>
        <w:ind w:firstLine="420" w:firstLineChars="200"/>
        <w:rPr>
          <w:color w:val="000000"/>
          <w:szCs w:val="21"/>
        </w:rPr>
      </w:pPr>
      <w:r>
        <w:rPr>
          <w:color w:val="000000"/>
          <w:szCs w:val="21"/>
        </w:rPr>
        <w:t>1）病史询问要点：近年来有无口腔溃疡、生殖器溃疡及类似眼病发作史，注意每年发作次数，有无皮肤病及表现形式。</w:t>
      </w:r>
    </w:p>
    <w:p>
      <w:pPr>
        <w:adjustRightInd w:val="0"/>
        <w:snapToGrid w:val="0"/>
        <w:spacing w:line="500" w:lineRule="exact"/>
        <w:ind w:firstLine="420" w:firstLineChars="200"/>
        <w:rPr>
          <w:color w:val="000000"/>
          <w:szCs w:val="21"/>
        </w:rPr>
      </w:pPr>
      <w:r>
        <w:rPr>
          <w:color w:val="000000"/>
          <w:szCs w:val="21"/>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adjustRightInd w:val="0"/>
        <w:snapToGrid w:val="0"/>
        <w:spacing w:line="500" w:lineRule="exact"/>
        <w:ind w:firstLine="420" w:firstLineChars="200"/>
        <w:rPr>
          <w:color w:val="000000"/>
          <w:szCs w:val="21"/>
        </w:rPr>
      </w:pPr>
      <w:r>
        <w:rPr>
          <w:color w:val="000000"/>
          <w:szCs w:val="21"/>
        </w:rPr>
        <w:t>3）辅助检查要点：上述体征中第1项和后4项中2项阳性者即可确诊，一般不需再作其他辅助检查。</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.2.6  视网膜静脉周围炎</w:t>
      </w:r>
    </w:p>
    <w:p>
      <w:pPr>
        <w:adjustRightInd w:val="0"/>
        <w:snapToGrid w:val="0"/>
        <w:spacing w:line="500" w:lineRule="exact"/>
        <w:ind w:firstLine="420" w:firstLineChars="200"/>
        <w:rPr>
          <w:color w:val="000000"/>
          <w:szCs w:val="21"/>
        </w:rPr>
      </w:pPr>
      <w:r>
        <w:rPr>
          <w:color w:val="000000"/>
          <w:szCs w:val="21"/>
        </w:rPr>
        <w:t>1）病史询问要点：眼内出血时视力可突然下降。</w:t>
      </w:r>
    </w:p>
    <w:p>
      <w:pPr>
        <w:adjustRightInd w:val="0"/>
        <w:snapToGrid w:val="0"/>
        <w:spacing w:line="500" w:lineRule="exact"/>
        <w:ind w:firstLine="420" w:firstLineChars="200"/>
        <w:rPr>
          <w:color w:val="000000"/>
          <w:szCs w:val="21"/>
        </w:rPr>
      </w:pPr>
      <w:r>
        <w:rPr>
          <w:color w:val="000000"/>
          <w:szCs w:val="21"/>
        </w:rPr>
        <w:t>2）查体要点：眼底检查，早期病变可见周边部视网膜灰白色渗出，血管旁白鞘，病变邻近处视网膜出血，玻璃体出血时仅见红光反射；晚期可见视网膜、玻璃体内机化膜形成（即增殖性视网膜病变），甚至视网膜脱离。</w:t>
      </w:r>
    </w:p>
    <w:p>
      <w:pPr>
        <w:adjustRightInd w:val="0"/>
        <w:snapToGrid w:val="0"/>
        <w:spacing w:line="500" w:lineRule="exact"/>
        <w:ind w:firstLine="420" w:firstLineChars="200"/>
        <w:rPr>
          <w:color w:val="000000"/>
          <w:szCs w:val="21"/>
        </w:rPr>
      </w:pPr>
      <w:r>
        <w:rPr>
          <w:color w:val="000000"/>
          <w:szCs w:val="21"/>
        </w:rPr>
        <w:t>3）辅助检查要点：早期或体征不典型者应散瞳做三面镜检查，有条件者可做眼底血管造影，以进一步明确诊断。</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.2.7  糖尿病性视网膜病变（DRP）</w:t>
      </w:r>
    </w:p>
    <w:p>
      <w:pPr>
        <w:adjustRightInd w:val="0"/>
        <w:snapToGrid w:val="0"/>
        <w:spacing w:line="500" w:lineRule="exact"/>
        <w:ind w:firstLine="420" w:firstLineChars="200"/>
        <w:rPr>
          <w:color w:val="000000"/>
          <w:szCs w:val="21"/>
        </w:rPr>
      </w:pPr>
      <w:r>
        <w:rPr>
          <w:color w:val="000000"/>
          <w:szCs w:val="21"/>
        </w:rPr>
        <w:t>1）病史询问要点：有无糖尿病史、糖尿病类型、病程及血糖控制情况。</w:t>
      </w:r>
    </w:p>
    <w:p>
      <w:pPr>
        <w:adjustRightInd w:val="0"/>
        <w:snapToGrid w:val="0"/>
        <w:spacing w:line="500" w:lineRule="exact"/>
        <w:ind w:firstLine="420" w:firstLineChars="200"/>
        <w:rPr>
          <w:color w:val="000000"/>
          <w:szCs w:val="21"/>
        </w:rPr>
      </w:pPr>
      <w:r>
        <w:rPr>
          <w:color w:val="000000"/>
          <w:szCs w:val="21"/>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adjustRightInd w:val="0"/>
        <w:snapToGrid w:val="0"/>
        <w:spacing w:line="500" w:lineRule="exact"/>
        <w:ind w:firstLine="420" w:firstLineChars="200"/>
        <w:rPr>
          <w:color w:val="000000"/>
          <w:szCs w:val="21"/>
        </w:rPr>
      </w:pPr>
      <w:r>
        <w:rPr>
          <w:color w:val="000000"/>
          <w:szCs w:val="21"/>
        </w:rPr>
        <w:t>3）辅助检查要点：参考实验室检查结果，并在内科协助下确诊。</w:t>
      </w:r>
    </w:p>
    <w:p>
      <w:pPr>
        <w:adjustRightInd w:val="0"/>
        <w:snapToGrid w:val="0"/>
        <w:spacing w:line="500" w:lineRule="exact"/>
        <w:rPr>
          <w:rFonts w:hint="eastAsia" w:ascii="宋体" w:hAnsi="宋体" w:cs="宋体"/>
          <w:color w:val="000000"/>
          <w:szCs w:val="21"/>
        </w:rPr>
      </w:pPr>
      <w:r>
        <w:rPr>
          <w:rFonts w:hint="eastAsia" w:eastAsia="黑体"/>
          <w:b/>
          <w:bCs/>
          <w:szCs w:val="21"/>
        </w:rPr>
        <w:t xml:space="preserve">   </w:t>
      </w:r>
      <w:r>
        <w:rPr>
          <w:rFonts w:hint="eastAsia" w:ascii="宋体" w:hAnsi="宋体" w:cs="宋体"/>
          <w:b/>
          <w:bCs/>
          <w:szCs w:val="21"/>
        </w:rPr>
        <w:t xml:space="preserve"> 19.3  注意事项</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.3.1  关于青光眼的眼底改变  正常眼底的杯盘比（C/D）大多不超过0.4，如果C/D达0.6以上，或两眼的C/D差值大于0.2时，应引起高度重视，因为这种改变可能是体检中发现青光眼的最主要阳性体征。青光眼的视盘改变主要表现为：①视盘凹陷进行性扩大和加深；②视盘上下方局限性盘缘变窄，垂直径C/D比值增大，或形成切迹；③视盘上或盘周浅表性出血；④视网膜视神经纤维层缺损。其中以C/D比值的参考价值最大，但它并不是诊断成立的依据，因部分正常人眼底C/D比值也可较大，即所谓的“生理性凹陷”，所以大凹陷并非都是病理性的。</w:t>
      </w:r>
    </w:p>
    <w:p>
      <w:pPr>
        <w:adjustRightInd w:val="0"/>
        <w:snapToGrid w:val="0"/>
        <w:spacing w:line="500" w:lineRule="exact"/>
        <w:ind w:firstLine="420" w:firstLineChars="200"/>
        <w:rPr>
          <w:color w:val="000000"/>
          <w:szCs w:val="21"/>
        </w:rPr>
      </w:pPr>
      <w:r>
        <w:rPr>
          <w:color w:val="000000"/>
          <w:szCs w:val="21"/>
        </w:rPr>
        <w:t>青光眼早期病理性凹陷与生理性凹陷不易区分。体检中对青光眼主要以筛查为目的，仅凭肉眼估计的C/D比值存在一定误差。对青光眼应本着宁严勿漏的原则，当C/D比值≥0.5且伴视盘的其他阳性改变，或C/D比值≥0.6时，或两眼的C/D差值大于0.2时，均应做青光眼排除检查。</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.3.2  关于眼压  眼压是眼内容物作用于眼球内壁的压力。眼压测量虽然不作为公务员体检的常规检查项目，但作为青光眼三大诊断指标之一，在眼科检查发现可疑体征时仍需加做此项检查，故简要介绍如下</w:t>
      </w:r>
      <w:r>
        <w:rPr>
          <w:szCs w:val="21"/>
        </w:rPr>
        <w:t>：</w:t>
      </w:r>
    </w:p>
    <w:p>
      <w:pPr>
        <w:adjustRightInd w:val="0"/>
        <w:snapToGrid w:val="0"/>
        <w:spacing w:line="500" w:lineRule="exact"/>
        <w:ind w:firstLine="420" w:firstLineChars="200"/>
        <w:rPr>
          <w:color w:val="000000"/>
          <w:szCs w:val="21"/>
        </w:rPr>
      </w:pPr>
      <w:r>
        <w:rPr>
          <w:color w:val="000000"/>
          <w:szCs w:val="21"/>
        </w:rPr>
        <w:t xml:space="preserve">眼压参考值为10～21 </w:t>
      </w:r>
      <w:r>
        <w:rPr>
          <w:rFonts w:hint="eastAsia"/>
          <w:color w:val="000000"/>
          <w:szCs w:val="21"/>
        </w:rPr>
        <w:t>mm</w:t>
      </w:r>
      <w:r>
        <w:rPr>
          <w:color w:val="000000"/>
          <w:szCs w:val="21"/>
        </w:rPr>
        <w:t xml:space="preserve"> Hg。眼压＞24 </w:t>
      </w:r>
      <w:r>
        <w:rPr>
          <w:rFonts w:hint="eastAsia"/>
          <w:color w:val="000000"/>
          <w:szCs w:val="21"/>
        </w:rPr>
        <w:t>mm</w:t>
      </w:r>
      <w:r>
        <w:rPr>
          <w:color w:val="000000"/>
          <w:szCs w:val="21"/>
        </w:rPr>
        <w:t xml:space="preserve"> Hg、昼夜眼压差＞8 </w:t>
      </w:r>
      <w:r>
        <w:rPr>
          <w:rFonts w:hint="eastAsia"/>
          <w:color w:val="000000"/>
          <w:szCs w:val="21"/>
        </w:rPr>
        <w:t>mm</w:t>
      </w:r>
      <w:r>
        <w:rPr>
          <w:color w:val="000000"/>
          <w:szCs w:val="21"/>
        </w:rPr>
        <w:t xml:space="preserve"> Hg或双眼眼压差＞5 </w:t>
      </w:r>
      <w:r>
        <w:rPr>
          <w:rFonts w:hint="eastAsia"/>
          <w:color w:val="000000"/>
          <w:szCs w:val="21"/>
        </w:rPr>
        <w:t>mm</w:t>
      </w:r>
      <w:r>
        <w:rPr>
          <w:color w:val="000000"/>
          <w:szCs w:val="21"/>
        </w:rPr>
        <w:t xml:space="preserve"> Hg，为病理性眼压。一般认为非接触性眼压计不够准确，其结果仅供临床参考，在确诊青光眼时应采用Gold</w:t>
      </w:r>
      <w:r>
        <w:rPr>
          <w:rFonts w:hint="eastAsia"/>
          <w:color w:val="000000"/>
          <w:szCs w:val="21"/>
        </w:rPr>
        <w:t>m</w:t>
      </w:r>
      <w:r>
        <w:rPr>
          <w:color w:val="000000"/>
          <w:szCs w:val="21"/>
        </w:rPr>
        <w:t>ann压平眼压计、手持压平眼压计或Schiotz压陷眼压计测量。由于高眼压并非都是青光眼，而正常眼压也不能排除青光眼，所以在评判眼压测量结果时应注意以下问题</w:t>
      </w:r>
      <w:r>
        <w:rPr>
          <w:szCs w:val="21"/>
        </w:rPr>
        <w:t>：</w:t>
      </w:r>
    </w:p>
    <w:p>
      <w:pPr>
        <w:adjustRightInd w:val="0"/>
        <w:snapToGrid w:val="0"/>
        <w:spacing w:line="500" w:lineRule="exact"/>
        <w:ind w:firstLine="420" w:firstLineChars="200"/>
        <w:rPr>
          <w:color w:val="000000"/>
          <w:szCs w:val="21"/>
        </w:rPr>
      </w:pPr>
      <w:r>
        <w:rPr>
          <w:color w:val="000000"/>
          <w:szCs w:val="21"/>
        </w:rPr>
        <w:t xml:space="preserve">1）慢性单纯性青光眼早期眼压不是持续性升高，约有50%的患者单次眼压测量值低于21 </w:t>
      </w:r>
      <w:r>
        <w:rPr>
          <w:rFonts w:hint="eastAsia"/>
          <w:color w:val="000000"/>
          <w:szCs w:val="21"/>
        </w:rPr>
        <w:t>mm</w:t>
      </w:r>
      <w:r>
        <w:rPr>
          <w:color w:val="000000"/>
          <w:szCs w:val="21"/>
        </w:rPr>
        <w:t xml:space="preserve"> Hg，因此，不能根据一两次眼压测量结果在正常范围内就判断为眼压不高，凡可疑病例应提供至少连续3天的单次眼压测量结果。此外，测量24小时眼压曲线，有助于发现眼压高峰及波动范围，是评判眼压的可靠依据。</w:t>
      </w:r>
    </w:p>
    <w:p>
      <w:pPr>
        <w:adjustRightInd w:val="0"/>
        <w:snapToGrid w:val="0"/>
        <w:spacing w:line="500" w:lineRule="exact"/>
        <w:ind w:firstLine="420" w:firstLineChars="200"/>
        <w:rPr>
          <w:color w:val="000000"/>
          <w:szCs w:val="21"/>
        </w:rPr>
      </w:pPr>
      <w:r>
        <w:rPr>
          <w:color w:val="000000"/>
          <w:szCs w:val="21"/>
        </w:rPr>
        <w:t>2）高度近视等巩膜硬度偏低者，用Schiotz压陷眼压计所测眼压往往低于实际眼压，故要求测量校正眼压或用压平眼压计测量。</w:t>
      </w:r>
    </w:p>
    <w:p>
      <w:pPr>
        <w:adjustRightInd w:val="0"/>
        <w:snapToGrid w:val="0"/>
        <w:spacing w:line="500" w:lineRule="exact"/>
        <w:ind w:firstLine="420" w:firstLineChars="200"/>
        <w:rPr>
          <w:color w:val="000000"/>
          <w:szCs w:val="21"/>
        </w:rPr>
      </w:pPr>
      <w:r>
        <w:rPr>
          <w:color w:val="000000"/>
          <w:szCs w:val="21"/>
        </w:rPr>
        <w:t>3）测量眼压时应注意测量误差。中央角膜厚度（CCT）是眼压测量的主要误差因素，CCT越厚，测得的眼压值越高，一些CCT较厚的正常人常被误诊为高眼压。CCT与压平眼压计测量值密切相关，所以在单项眼压高而无其他阳性体征时，应根据各地区条件做进一步检查，排除CCT因素所致的“假性高眼压”。</w:t>
      </w:r>
    </w:p>
    <w:p>
      <w:pPr>
        <w:adjustRightInd w:val="0"/>
        <w:snapToGrid w:val="0"/>
        <w:spacing w:line="500" w:lineRule="exact"/>
        <w:ind w:firstLine="420" w:firstLineChars="200"/>
        <w:rPr>
          <w:color w:val="000000"/>
          <w:szCs w:val="21"/>
        </w:rPr>
      </w:pPr>
      <w:r>
        <w:rPr>
          <w:color w:val="000000"/>
          <w:szCs w:val="21"/>
        </w:rPr>
        <w:t>1</w:t>
      </w:r>
      <w:r>
        <w:rPr>
          <w:rFonts w:hint="eastAsia"/>
          <w:color w:val="000000"/>
          <w:szCs w:val="21"/>
        </w:rPr>
        <w:t>9</w:t>
      </w:r>
      <w:r>
        <w:rPr>
          <w:color w:val="000000"/>
          <w:szCs w:val="21"/>
        </w:rPr>
        <w:t>.3.3  关于一眼视力合格而另一眼失明或无眼球的判定  一眼失明（视力仅存光感以下者为失明）或无眼球可由多种眼病所引起。按照条文规定，只要另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恶性肿瘤而摘除眼球者，须由原经治医院提供病情摘要，说明手术摘除眼球的理由，以供做结论时参考。</w:t>
      </w:r>
    </w:p>
    <w:p>
      <w:pPr>
        <w:pStyle w:val="3"/>
        <w:adjustRightInd w:val="0"/>
        <w:snapToGrid w:val="0"/>
        <w:spacing w:before="0" w:after="0" w:line="500" w:lineRule="exact"/>
        <w:rPr>
          <w:rFonts w:hint="eastAsia" w:ascii="Times New Roman" w:hAnsi="Times New Roman"/>
          <w:sz w:val="21"/>
          <w:szCs w:val="21"/>
        </w:rPr>
      </w:pPr>
      <w:bookmarkStart w:id="25" w:name="_Toc391888341"/>
    </w:p>
    <w:p>
      <w:pPr>
        <w:pStyle w:val="3"/>
        <w:adjustRightInd w:val="0"/>
        <w:snapToGrid w:val="0"/>
        <w:spacing w:before="0" w:after="0" w:line="500" w:lineRule="exact"/>
        <w:rPr>
          <w:rFonts w:hint="eastAsia" w:ascii="黑体" w:hAnsi="黑体" w:eastAsia="黑体" w:cs="黑体"/>
          <w:sz w:val="21"/>
          <w:szCs w:val="21"/>
        </w:rPr>
      </w:pPr>
      <w:r>
        <w:rPr>
          <w:rFonts w:hint="eastAsia" w:ascii="黑体" w:hAnsi="黑体" w:eastAsia="黑体" w:cs="黑体"/>
          <w:sz w:val="21"/>
          <w:szCs w:val="21"/>
        </w:rPr>
        <w:t>20  关于听力及耳鼻喉科疾病</w:t>
      </w:r>
      <w:bookmarkEnd w:id="25"/>
    </w:p>
    <w:p>
      <w:pPr>
        <w:adjustRightInd w:val="0"/>
        <w:snapToGrid w:val="0"/>
        <w:spacing w:line="500" w:lineRule="exact"/>
        <w:rPr>
          <w:rFonts w:eastAsia="楷体_GB2312"/>
          <w:b/>
          <w:bCs/>
          <w:color w:val="000000"/>
          <w:szCs w:val="21"/>
        </w:rPr>
      </w:pPr>
      <w:r>
        <w:rPr>
          <w:rFonts w:eastAsia="楷体_GB2312"/>
          <w:b/>
          <w:bCs/>
          <w:color w:val="000000"/>
          <w:szCs w:val="21"/>
        </w:rPr>
        <w:t xml:space="preserve">    第</w:t>
      </w:r>
      <w:r>
        <w:rPr>
          <w:rFonts w:hint="eastAsia" w:eastAsia="楷体_GB2312"/>
          <w:b/>
          <w:bCs/>
          <w:color w:val="000000"/>
          <w:szCs w:val="21"/>
        </w:rPr>
        <w:t>二十</w:t>
      </w:r>
      <w:r>
        <w:rPr>
          <w:rFonts w:eastAsia="楷体_GB2312"/>
          <w:b/>
          <w:bCs/>
          <w:color w:val="000000"/>
          <w:szCs w:val="21"/>
        </w:rPr>
        <w:t>条  双耳均有听力障碍，在使用人工听觉装置情况下，双耳在3米以内耳语仍听不见者，不合格。</w:t>
      </w:r>
    </w:p>
    <w:p>
      <w:pPr>
        <w:adjustRightInd w:val="0"/>
        <w:snapToGrid w:val="0"/>
        <w:spacing w:line="500" w:lineRule="exact"/>
        <w:rPr>
          <w:rFonts w:hint="eastAsia" w:ascii="宋体" w:hAnsi="宋体" w:cs="宋体"/>
          <w:b/>
          <w:bCs/>
          <w:color w:val="000000"/>
          <w:szCs w:val="21"/>
        </w:rPr>
      </w:pPr>
      <w:r>
        <w:rPr>
          <w:rFonts w:hint="eastAsia" w:eastAsia="黑体"/>
          <w:b/>
          <w:bCs/>
          <w:color w:val="000000"/>
          <w:szCs w:val="21"/>
        </w:rPr>
        <w:t xml:space="preserve">   </w:t>
      </w:r>
      <w:r>
        <w:rPr>
          <w:rFonts w:hint="eastAsia" w:ascii="宋体" w:hAnsi="宋体" w:cs="宋体"/>
          <w:b/>
          <w:bCs/>
          <w:color w:val="000000"/>
          <w:szCs w:val="21"/>
        </w:rPr>
        <w:t xml:space="preserve"> 20.1  条文解释</w:t>
      </w:r>
    </w:p>
    <w:p>
      <w:pPr>
        <w:adjustRightInd w:val="0"/>
        <w:snapToGrid w:val="0"/>
        <w:spacing w:line="500" w:lineRule="exact"/>
        <w:ind w:firstLine="420" w:firstLineChars="200"/>
        <w:rPr>
          <w:color w:val="000000"/>
          <w:szCs w:val="21"/>
        </w:rPr>
      </w:pPr>
      <w:r>
        <w:rPr>
          <w:color w:val="000000"/>
          <w:szCs w:val="21"/>
        </w:rPr>
        <w:t xml:space="preserve">本条款实际含义是，在使用或不使用人工听觉装置的条件下，只要任何一耳的耳语试验超过3 </w:t>
      </w:r>
      <w:r>
        <w:rPr>
          <w:rFonts w:hint="eastAsia"/>
          <w:color w:val="000000"/>
          <w:szCs w:val="21"/>
        </w:rPr>
        <w:t>米</w:t>
      </w:r>
      <w:r>
        <w:rPr>
          <w:color w:val="000000"/>
          <w:szCs w:val="21"/>
        </w:rPr>
        <w:t>，视为体检合格。</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.1.1  听力  是指辨别声音的能力，具有两层含义，一是泛指察觉声音的能力，二是特指对言语的识别能力。</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.1.2  耳聋  即听力障碍，是听觉传导通路发生病变导致不同程度听力损害的总称。</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.1.3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的听力障碍多为感音神经性聋或混合性聋。</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.1.4 人工听觉装置  随着医学科技的飞速发展，人工听觉技术不断推陈出新。目前的人工听觉技术不仅能解决传导性听力下降，还能通过永久性植入人工听觉装置而改善感音神经性聋患者的言语感知能力。感音神经性听力下降。听觉植入是指通过手术将人工植入体完全或部分埋植到体内从而改善听力的技术。</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 xml:space="preserve">.1.5  </w:t>
      </w:r>
      <w:r>
        <w:rPr>
          <w:bCs/>
          <w:color w:val="000000"/>
          <w:szCs w:val="21"/>
        </w:rPr>
        <w:t xml:space="preserve">关于公务员录用体检的听力检查法  </w:t>
      </w:r>
      <w:r>
        <w:rPr>
          <w:color w:val="000000"/>
          <w:szCs w:val="21"/>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.1.6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adjustRightInd w:val="0"/>
        <w:snapToGrid w:val="0"/>
        <w:spacing w:line="500" w:lineRule="exact"/>
        <w:rPr>
          <w:rFonts w:eastAsia="黑体"/>
          <w:b/>
          <w:bCs/>
          <w:color w:val="000000"/>
          <w:szCs w:val="21"/>
        </w:rPr>
      </w:pPr>
      <w:r>
        <w:rPr>
          <w:rFonts w:hint="eastAsia" w:eastAsia="黑体"/>
          <w:b/>
          <w:bCs/>
          <w:color w:val="000000"/>
          <w:szCs w:val="21"/>
        </w:rPr>
        <w:t xml:space="preserve">   </w:t>
      </w:r>
      <w:r>
        <w:rPr>
          <w:rFonts w:hint="eastAsia" w:ascii="宋体" w:hAnsi="宋体" w:cs="宋体"/>
          <w:b/>
          <w:bCs/>
          <w:color w:val="000000"/>
          <w:szCs w:val="21"/>
        </w:rPr>
        <w:t xml:space="preserve"> 20.2  诊断要点</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.2.1  常见耳病  </w:t>
      </w:r>
      <w:r>
        <w:rPr>
          <w:color w:val="000000"/>
          <w:szCs w:val="21"/>
        </w:rPr>
        <w:t xml:space="preserve">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w:t>
      </w:r>
      <w:r>
        <w:rPr>
          <w:rFonts w:hint="eastAsia"/>
          <w:color w:val="000000"/>
          <w:szCs w:val="21"/>
        </w:rPr>
        <w:t>米</w:t>
      </w:r>
      <w:r>
        <w:rPr>
          <w:color w:val="000000"/>
          <w:szCs w:val="21"/>
        </w:rPr>
        <w:t>以内的耳病较为少见。现仅就一些常见听力障碍的特点和一些听力虽能达标但需提前治疗的耳部疾病简述如下。</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.2.1.1  先天性聋</w:t>
      </w:r>
      <w:r>
        <w:rPr>
          <w:b/>
          <w:bCs/>
          <w:color w:val="000000"/>
          <w:szCs w:val="21"/>
        </w:rPr>
        <w:t xml:space="preserve">  </w:t>
      </w:r>
      <w:r>
        <w:rPr>
          <w:color w:val="000000"/>
          <w:szCs w:val="21"/>
        </w:rPr>
        <w:t>包括遗传性和非遗传性先天性聋，可伴有其他部位或系统的先天性畸形。</w:t>
      </w:r>
    </w:p>
    <w:p>
      <w:pPr>
        <w:adjustRightInd w:val="0"/>
        <w:snapToGrid w:val="0"/>
        <w:spacing w:line="500" w:lineRule="exact"/>
        <w:ind w:firstLine="420" w:firstLineChars="200"/>
        <w:rPr>
          <w:color w:val="000000"/>
          <w:szCs w:val="21"/>
        </w:rPr>
      </w:pPr>
      <w:r>
        <w:rPr>
          <w:color w:val="000000"/>
          <w:szCs w:val="21"/>
        </w:rPr>
        <w:t>1）病史询问要点： 有无遗传性聋或其他遗传性疾病家族史，母亲妊娠期有无风疹病毒感染史、耳毒性药物应用史及有无难产史，耳聋发病年龄，耳聋是否进行性加重，有无耳痛。</w:t>
      </w:r>
    </w:p>
    <w:p>
      <w:pPr>
        <w:adjustRightInd w:val="0"/>
        <w:snapToGrid w:val="0"/>
        <w:spacing w:line="500" w:lineRule="exact"/>
        <w:ind w:firstLine="420" w:firstLineChars="200"/>
        <w:rPr>
          <w:color w:val="000000"/>
          <w:szCs w:val="21"/>
        </w:rPr>
      </w:pPr>
      <w:r>
        <w:rPr>
          <w:color w:val="000000"/>
          <w:szCs w:val="21"/>
        </w:rPr>
        <w:t>2）查体要点：外耳及鼓膜一般无异常。注意是否伴有其他部位的畸形。</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.2.1.2  药物性聋  </w:t>
      </w:r>
      <w:r>
        <w:rPr>
          <w:color w:val="000000"/>
          <w:szCs w:val="21"/>
        </w:rPr>
        <w:t>指药物毒性引起耳蜗中毒性损害造成的耳聋，以氨基糖苷类抗生素引起者多见，如链霉素、庆大霉素、卡那霉素等。此种耳聋通常属永久性的，目前尚无有效治疗方法。</w:t>
      </w:r>
    </w:p>
    <w:p>
      <w:pPr>
        <w:adjustRightInd w:val="0"/>
        <w:snapToGrid w:val="0"/>
        <w:spacing w:line="500" w:lineRule="exact"/>
        <w:ind w:firstLine="420" w:firstLineChars="200"/>
        <w:rPr>
          <w:color w:val="000000"/>
          <w:szCs w:val="21"/>
        </w:rPr>
      </w:pPr>
      <w:r>
        <w:rPr>
          <w:color w:val="000000"/>
          <w:szCs w:val="21"/>
        </w:rPr>
        <w:t>1）病史询问要点： 是否为使用耳毒性药物或患某些疾病后出现双耳听力下降，所用耳毒性药物种类、用药剂量、用药时间及途径等，是否伴眩晕、耳鸣。</w:t>
      </w:r>
    </w:p>
    <w:p>
      <w:pPr>
        <w:adjustRightInd w:val="0"/>
        <w:snapToGrid w:val="0"/>
        <w:spacing w:line="500" w:lineRule="exact"/>
        <w:ind w:firstLine="420" w:firstLineChars="200"/>
        <w:rPr>
          <w:color w:val="000000"/>
          <w:szCs w:val="21"/>
        </w:rPr>
      </w:pPr>
      <w:r>
        <w:rPr>
          <w:color w:val="000000"/>
          <w:szCs w:val="21"/>
        </w:rPr>
        <w:t>2）查体要点：主要通过病史诊断，耳镜检查一般无异常发现。</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.2.1.3  噪声性聋  </w:t>
      </w:r>
      <w:r>
        <w:rPr>
          <w:color w:val="000000"/>
          <w:szCs w:val="21"/>
        </w:rPr>
        <w:t>噪声性聋是因长期接触噪声刺激而产生的进行性听觉障碍，损害部位在内耳。</w:t>
      </w:r>
    </w:p>
    <w:p>
      <w:pPr>
        <w:adjustRightInd w:val="0"/>
        <w:snapToGrid w:val="0"/>
        <w:spacing w:line="500" w:lineRule="exact"/>
        <w:ind w:firstLine="420" w:firstLineChars="200"/>
        <w:rPr>
          <w:color w:val="000000"/>
          <w:szCs w:val="21"/>
        </w:rPr>
      </w:pPr>
      <w:r>
        <w:rPr>
          <w:color w:val="000000"/>
          <w:szCs w:val="21"/>
        </w:rPr>
        <w:t>1）病史询问要点：有无明确的噪声暴露史，耳聋是否呈进行性发展并伴双侧耳鸣，有无其他可导致耳聋的致病因素。</w:t>
      </w:r>
    </w:p>
    <w:p>
      <w:pPr>
        <w:adjustRightInd w:val="0"/>
        <w:snapToGrid w:val="0"/>
        <w:spacing w:line="500" w:lineRule="exact"/>
        <w:ind w:firstLine="420" w:firstLineChars="200"/>
        <w:rPr>
          <w:color w:val="000000"/>
          <w:szCs w:val="21"/>
        </w:rPr>
      </w:pPr>
      <w:r>
        <w:rPr>
          <w:color w:val="000000"/>
          <w:szCs w:val="21"/>
        </w:rPr>
        <w:t>2）查体要点：外耳道及鼓膜多无异常。</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.2.1.4  急性声损伤或冲击伤  </w:t>
      </w:r>
      <w:r>
        <w:rPr>
          <w:color w:val="000000"/>
          <w:szCs w:val="21"/>
        </w:rPr>
        <w:t>是由冲击波对听觉器官的损伤造成的听觉损害，损害部位主要在内耳，可伴有不同程度的中耳损伤。</w:t>
      </w:r>
    </w:p>
    <w:p>
      <w:pPr>
        <w:adjustRightInd w:val="0"/>
        <w:snapToGrid w:val="0"/>
        <w:spacing w:line="500" w:lineRule="exact"/>
        <w:ind w:firstLine="420" w:firstLineChars="200"/>
        <w:rPr>
          <w:color w:val="000000"/>
          <w:szCs w:val="21"/>
        </w:rPr>
      </w:pPr>
      <w:r>
        <w:rPr>
          <w:color w:val="000000"/>
          <w:szCs w:val="21"/>
        </w:rPr>
        <w:t>1）病史询问要点：有无近处发生巨大声响或爆炸等冲击波损伤后听力立即下降史，有无耳鸣、耳痛、头晕等伴随症状。</w:t>
      </w:r>
    </w:p>
    <w:p>
      <w:pPr>
        <w:adjustRightInd w:val="0"/>
        <w:snapToGrid w:val="0"/>
        <w:spacing w:line="500" w:lineRule="exact"/>
        <w:ind w:firstLine="420" w:firstLineChars="200"/>
        <w:rPr>
          <w:color w:val="000000"/>
          <w:szCs w:val="21"/>
        </w:rPr>
      </w:pPr>
      <w:r>
        <w:rPr>
          <w:color w:val="000000"/>
          <w:szCs w:val="21"/>
        </w:rPr>
        <w:t>2）查体要点：耳镜检查可有鼓膜充血，或外伤性穿孔、出血、听骨链损伤。</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.2.1.5</w:t>
      </w:r>
      <w:r>
        <w:rPr>
          <w:bCs/>
          <w:color w:val="000000"/>
          <w:szCs w:val="21"/>
        </w:rPr>
        <w:t xml:space="preserve">  病毒感染导致的聋  </w:t>
      </w:r>
      <w:r>
        <w:rPr>
          <w:color w:val="000000"/>
          <w:szCs w:val="21"/>
        </w:rPr>
        <w:t>病毒直接或间接地引起内耳病损，导致双耳或单耳程度不同的感音神经性听力损失。</w:t>
      </w:r>
    </w:p>
    <w:p>
      <w:pPr>
        <w:adjustRightInd w:val="0"/>
        <w:snapToGrid w:val="0"/>
        <w:spacing w:line="500" w:lineRule="exact"/>
        <w:ind w:firstLine="420" w:firstLineChars="200"/>
        <w:rPr>
          <w:color w:val="000000"/>
          <w:szCs w:val="21"/>
        </w:rPr>
      </w:pPr>
      <w:r>
        <w:rPr>
          <w:color w:val="000000"/>
          <w:szCs w:val="21"/>
        </w:rPr>
        <w:t>1）病史询问要点：有无如腮腺炎、麻疹、水痘等病毒感染史；发病是否突然，有无耳鸣等伴随症状。</w:t>
      </w:r>
    </w:p>
    <w:p>
      <w:pPr>
        <w:adjustRightInd w:val="0"/>
        <w:snapToGrid w:val="0"/>
        <w:spacing w:line="500" w:lineRule="exact"/>
        <w:ind w:firstLine="420" w:firstLineChars="200"/>
        <w:rPr>
          <w:color w:val="000000"/>
          <w:szCs w:val="21"/>
        </w:rPr>
      </w:pPr>
      <w:r>
        <w:rPr>
          <w:color w:val="000000"/>
          <w:szCs w:val="21"/>
        </w:rPr>
        <w:t>2）查体要点：病史是诊断的关键，耳镜检查一般无异常发现。</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.2.1.6</w:t>
      </w:r>
      <w:r>
        <w:rPr>
          <w:bCs/>
          <w:color w:val="000000"/>
          <w:szCs w:val="21"/>
        </w:rPr>
        <w:t xml:space="preserve"> 全身疾病导致的聋  </w:t>
      </w:r>
      <w:r>
        <w:rPr>
          <w:color w:val="000000"/>
          <w:szCs w:val="21"/>
        </w:rPr>
        <w:t>多由于结缔组织病（如风湿性关节炎、系统性红斑狼疮、</w:t>
      </w:r>
      <w:r>
        <w:rPr>
          <w:szCs w:val="21"/>
        </w:rPr>
        <w:t>结节性多动脉炎</w:t>
      </w:r>
      <w:r>
        <w:rPr>
          <w:color w:val="000000"/>
          <w:szCs w:val="21"/>
        </w:rPr>
        <w:t>等）、糖尿病、甲状腺功能亢进、尿毒症等系统性疾病所引起。</w:t>
      </w:r>
    </w:p>
    <w:p>
      <w:pPr>
        <w:adjustRightInd w:val="0"/>
        <w:snapToGrid w:val="0"/>
        <w:spacing w:line="500" w:lineRule="exact"/>
        <w:ind w:firstLine="420" w:firstLineChars="200"/>
        <w:rPr>
          <w:color w:val="000000"/>
          <w:szCs w:val="21"/>
        </w:rPr>
      </w:pPr>
      <w:r>
        <w:rPr>
          <w:color w:val="000000"/>
          <w:szCs w:val="21"/>
        </w:rPr>
        <w:t>1）病史询问要点：病史是诊断的关键，注意询问有无上述相关疾病史。</w:t>
      </w:r>
    </w:p>
    <w:p>
      <w:pPr>
        <w:adjustRightInd w:val="0"/>
        <w:snapToGrid w:val="0"/>
        <w:spacing w:line="500" w:lineRule="exact"/>
        <w:ind w:firstLine="420" w:firstLineChars="200"/>
        <w:rPr>
          <w:color w:val="000000"/>
          <w:szCs w:val="21"/>
        </w:rPr>
      </w:pPr>
      <w:r>
        <w:rPr>
          <w:color w:val="000000"/>
          <w:szCs w:val="21"/>
        </w:rPr>
        <w:t>2）查体要点：注意有无上述疾病的相关体征。</w:t>
      </w:r>
    </w:p>
    <w:p>
      <w:pPr>
        <w:adjustRightInd w:val="0"/>
        <w:snapToGrid w:val="0"/>
        <w:spacing w:line="500" w:lineRule="exact"/>
        <w:ind w:firstLine="420" w:firstLineChars="200"/>
        <w:rPr>
          <w:color w:val="000000"/>
          <w:szCs w:val="21"/>
        </w:rPr>
      </w:pPr>
      <w:r>
        <w:rPr>
          <w:color w:val="000000"/>
          <w:szCs w:val="21"/>
        </w:rPr>
        <w:t>注意：</w:t>
      </w:r>
      <w:r>
        <w:rPr>
          <w:bCs/>
          <w:color w:val="000000"/>
          <w:szCs w:val="21"/>
        </w:rPr>
        <w:t>全身疾病导致耳聋者</w:t>
      </w:r>
      <w:r>
        <w:rPr>
          <w:color w:val="000000"/>
          <w:szCs w:val="21"/>
        </w:rPr>
        <w:t>即使听力能够达到合格标准，也须根据原发疾病的性质作出最终的体检结论。</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.2.1.7</w:t>
      </w:r>
      <w:r>
        <w:rPr>
          <w:bCs/>
          <w:color w:val="000000"/>
          <w:szCs w:val="21"/>
        </w:rPr>
        <w:t xml:space="preserve">  其他化脓性耳部疾病</w:t>
      </w:r>
      <w:r>
        <w:rPr>
          <w:rFonts w:eastAsia="黑体"/>
          <w:b/>
          <w:bCs/>
          <w:color w:val="000000"/>
          <w:szCs w:val="21"/>
        </w:rPr>
        <w:t xml:space="preserve">  </w:t>
      </w:r>
      <w:r>
        <w:rPr>
          <w:color w:val="000000"/>
          <w:szCs w:val="21"/>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.2.2  耳鼻咽喉科常见肿瘤  其中恶性肿瘤多发于中老年人群，肉瘤则多见于青年人。因其解剖位置较为隐蔽，早期症状少，体检时一般不易发现，故查体一定要认真仔细，才能最大限度地避免漏诊。按《标准》第八条规定，不合格。</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.2.2.1</w:t>
      </w:r>
      <w:r>
        <w:rPr>
          <w:bCs/>
          <w:color w:val="000000"/>
          <w:szCs w:val="21"/>
        </w:rPr>
        <w:t xml:space="preserve">  鼻腔及鼻窦恶性肿瘤  </w:t>
      </w:r>
      <w:r>
        <w:rPr>
          <w:color w:val="000000"/>
          <w:szCs w:val="21"/>
        </w:rPr>
        <w:t>发生于鼻腔及鼻窦的肿瘤可侵犯临近器官如眼眶及颅内，造成严重后果，预后较差。</w:t>
      </w:r>
    </w:p>
    <w:p>
      <w:pPr>
        <w:adjustRightInd w:val="0"/>
        <w:snapToGrid w:val="0"/>
        <w:spacing w:line="500" w:lineRule="exact"/>
        <w:ind w:firstLine="420" w:firstLineChars="200"/>
        <w:rPr>
          <w:color w:val="000000"/>
          <w:szCs w:val="21"/>
        </w:rPr>
      </w:pPr>
      <w:r>
        <w:rPr>
          <w:color w:val="000000"/>
          <w:szCs w:val="21"/>
        </w:rPr>
        <w:t>1）病史询问要点：有无鼻出血或血性鼻涕，凡成人一侧鼻腔经常少量出血或涕中带血，尤其是有特殊臭味者，应首先想到肿瘤可能；有无鼻塞，是否为一侧鼻腔进行性鼻塞，进展情况如何。</w:t>
      </w:r>
    </w:p>
    <w:p>
      <w:pPr>
        <w:adjustRightInd w:val="0"/>
        <w:snapToGrid w:val="0"/>
        <w:spacing w:line="500" w:lineRule="exact"/>
        <w:ind w:firstLine="420" w:firstLineChars="200"/>
        <w:rPr>
          <w:color w:val="000000"/>
          <w:szCs w:val="21"/>
        </w:rPr>
      </w:pPr>
      <w:r>
        <w:rPr>
          <w:color w:val="000000"/>
          <w:szCs w:val="21"/>
        </w:rPr>
        <w:t>2）查体要点：注意有无颌下、颈部淋巴结肿大；鼻镜检查注意鼻腔有无新生物。鼻腔未见肿瘤组织但可见鼻道血迹，应想到上颌窦癌的可能。</w:t>
      </w:r>
    </w:p>
    <w:p>
      <w:pPr>
        <w:adjustRightInd w:val="0"/>
        <w:snapToGrid w:val="0"/>
        <w:spacing w:line="500" w:lineRule="exact"/>
        <w:ind w:firstLine="420" w:firstLineChars="200"/>
        <w:rPr>
          <w:color w:val="000000"/>
          <w:szCs w:val="21"/>
        </w:rPr>
      </w:pPr>
      <w:r>
        <w:rPr>
          <w:color w:val="000000"/>
          <w:szCs w:val="21"/>
        </w:rPr>
        <w:t>3）辅助检查要点：主要通过体检发现可疑肿瘤，经活组织病理学检查进一步确诊。</w:t>
      </w:r>
    </w:p>
    <w:p>
      <w:pPr>
        <w:adjustRightInd w:val="0"/>
        <w:snapToGrid w:val="0"/>
        <w:spacing w:line="500" w:lineRule="exact"/>
        <w:ind w:firstLine="420" w:firstLineChars="200"/>
        <w:rPr>
          <w:color w:val="000000"/>
          <w:szCs w:val="21"/>
        </w:rPr>
      </w:pPr>
      <w:r>
        <w:rPr>
          <w:color w:val="000000"/>
          <w:szCs w:val="21"/>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.2.2.2</w:t>
      </w:r>
      <w:r>
        <w:rPr>
          <w:bCs/>
          <w:color w:val="000000"/>
          <w:szCs w:val="21"/>
        </w:rPr>
        <w:t xml:space="preserve">  鼻咽癌</w:t>
      </w:r>
    </w:p>
    <w:p>
      <w:pPr>
        <w:adjustRightInd w:val="0"/>
        <w:snapToGrid w:val="0"/>
        <w:spacing w:line="500" w:lineRule="exact"/>
        <w:ind w:firstLine="420" w:firstLineChars="200"/>
        <w:rPr>
          <w:color w:val="000000"/>
          <w:szCs w:val="21"/>
        </w:rPr>
      </w:pPr>
      <w:r>
        <w:rPr>
          <w:color w:val="000000"/>
          <w:szCs w:val="21"/>
        </w:rPr>
        <w:t>1）病史询问要点：注意流行病史（广东、广西、福建地区发病率高），有无鼻涕带血、鼻塞、耳闷、耳鸣及听力减退等症状，有无顽固、持久的头痛病史。</w:t>
      </w:r>
    </w:p>
    <w:p>
      <w:pPr>
        <w:adjustRightInd w:val="0"/>
        <w:snapToGrid w:val="0"/>
        <w:spacing w:line="500" w:lineRule="exact"/>
        <w:ind w:firstLine="420" w:firstLineChars="200"/>
        <w:rPr>
          <w:color w:val="000000"/>
          <w:szCs w:val="21"/>
        </w:rPr>
      </w:pPr>
      <w:r>
        <w:rPr>
          <w:color w:val="000000"/>
          <w:szCs w:val="21"/>
        </w:rPr>
        <w:t>2）查体要点：颈部淋巴结转移常为最早发现的症状，约占40%，体检时应注意有无单侧或双侧上颈部淋巴结肿大；若有，应仔细检查鼻咽部。</w:t>
      </w:r>
    </w:p>
    <w:p>
      <w:pPr>
        <w:adjustRightInd w:val="0"/>
        <w:snapToGrid w:val="0"/>
        <w:spacing w:line="500" w:lineRule="exact"/>
        <w:ind w:firstLine="420" w:firstLineChars="200"/>
        <w:rPr>
          <w:color w:val="000000"/>
          <w:szCs w:val="21"/>
        </w:rPr>
      </w:pPr>
      <w:r>
        <w:rPr>
          <w:color w:val="000000"/>
          <w:szCs w:val="21"/>
        </w:rPr>
        <w:t>3）辅助检查要点：对可疑病例应行间接鼻咽镜或纤维鼻咽镜检查，咽隐窝、鼻咽顶部可见结节状、菜花状或溃疡状肿物，可取鼻咽部组织作病理学检查，以明确诊断。</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.2.2.3  </w:t>
      </w:r>
      <w:r>
        <w:rPr>
          <w:color w:val="000000"/>
          <w:szCs w:val="21"/>
        </w:rPr>
        <w:t>鼻咽纤维血管瘤  本病好发于10～25岁青年男性。肿瘤由纤维组织及血管构成，瘤体血管丰富，血管壁薄，缺乏弹性，容易受损而发生严重大出血。本病虽属良性肿瘤，但由于容易反复出血和侵及颅底、眼眶产生严重后果，故现症患者不合格。</w:t>
      </w:r>
    </w:p>
    <w:p>
      <w:pPr>
        <w:adjustRightInd w:val="0"/>
        <w:snapToGrid w:val="0"/>
        <w:spacing w:line="500" w:lineRule="exact"/>
        <w:ind w:firstLine="420" w:firstLineChars="200"/>
        <w:rPr>
          <w:color w:val="000000"/>
          <w:szCs w:val="21"/>
        </w:rPr>
      </w:pPr>
      <w:r>
        <w:rPr>
          <w:color w:val="000000"/>
          <w:szCs w:val="21"/>
        </w:rPr>
        <w:t>1）病史询问要点：有无反复阵发性鼻出血史，出血量多少，是否伴有不同程度的贫血；有无进行性鼻塞及耳鸣、耳堵、听力障碍、头痛等堵塞及压迫症状。</w:t>
      </w:r>
    </w:p>
    <w:p>
      <w:pPr>
        <w:adjustRightInd w:val="0"/>
        <w:snapToGrid w:val="0"/>
        <w:spacing w:line="500" w:lineRule="exact"/>
        <w:ind w:firstLine="420" w:firstLineChars="200"/>
        <w:rPr>
          <w:color w:val="000000"/>
          <w:szCs w:val="21"/>
        </w:rPr>
      </w:pPr>
      <w:r>
        <w:rPr>
          <w:color w:val="000000"/>
          <w:szCs w:val="21"/>
        </w:rPr>
        <w:t>2）查体要点：鼻腔、鼻咽部可见表面光滑、质硬的红色肿物，触之易出血。</w:t>
      </w:r>
    </w:p>
    <w:p>
      <w:pPr>
        <w:adjustRightInd w:val="0"/>
        <w:snapToGrid w:val="0"/>
        <w:spacing w:line="500" w:lineRule="exact"/>
        <w:ind w:firstLine="420" w:firstLineChars="200"/>
        <w:rPr>
          <w:color w:val="000000"/>
          <w:szCs w:val="21"/>
        </w:rPr>
      </w:pPr>
      <w:r>
        <w:rPr>
          <w:color w:val="000000"/>
          <w:szCs w:val="21"/>
        </w:rPr>
        <w:t>3）辅助检查要点：一般通过临床表现及鼻腔、鼻咽部检查即可诊断，必要时可做鼻咽部CT或</w:t>
      </w:r>
      <w:r>
        <w:rPr>
          <w:rFonts w:hint="eastAsia"/>
          <w:color w:val="000000"/>
          <w:szCs w:val="21"/>
        </w:rPr>
        <w:t>米</w:t>
      </w:r>
      <w:r>
        <w:rPr>
          <w:color w:val="000000"/>
          <w:szCs w:val="21"/>
        </w:rPr>
        <w:t>RI检查，进一步了解肿瘤大小、范围及颅底情况。</w:t>
      </w:r>
    </w:p>
    <w:p>
      <w:pPr>
        <w:adjustRightInd w:val="0"/>
        <w:snapToGrid w:val="0"/>
        <w:spacing w:line="500" w:lineRule="exact"/>
        <w:ind w:firstLine="420" w:firstLineChars="200"/>
        <w:rPr>
          <w:b/>
          <w:bCs/>
          <w:color w:val="000000"/>
          <w:szCs w:val="21"/>
        </w:rPr>
      </w:pPr>
      <w:r>
        <w:rPr>
          <w:rFonts w:hint="eastAsia"/>
          <w:bCs/>
          <w:color w:val="000000"/>
          <w:szCs w:val="21"/>
        </w:rPr>
        <w:t>20</w:t>
      </w:r>
      <w:r>
        <w:rPr>
          <w:bCs/>
          <w:color w:val="000000"/>
          <w:szCs w:val="21"/>
        </w:rPr>
        <w:t>.2.2.4  喉癌  喉癌多发生于成年人，其病因与吸烟有密切关系，其他因素为慢性刺激，如慢性喉炎等，少数病例可能来自乳头状瘤恶变。按解剖部位，临床上可将喉癌分为声门上癌、声带癌及声门下癌，其中以声带癌居多。</w:t>
      </w:r>
    </w:p>
    <w:p>
      <w:pPr>
        <w:adjustRightInd w:val="0"/>
        <w:snapToGrid w:val="0"/>
        <w:spacing w:line="500" w:lineRule="exact"/>
        <w:ind w:firstLine="420" w:firstLineChars="200"/>
        <w:rPr>
          <w:color w:val="000000"/>
          <w:szCs w:val="21"/>
        </w:rPr>
      </w:pPr>
      <w:r>
        <w:rPr>
          <w:color w:val="000000"/>
          <w:szCs w:val="21"/>
        </w:rPr>
        <w:t>1）病史询问要点：有无声音嘶哑及声音嘶哑是否为持续渐进性，有无咽部异物感和咽痛，有无刺激性咳嗽和痰中带血。</w:t>
      </w:r>
    </w:p>
    <w:p>
      <w:pPr>
        <w:adjustRightInd w:val="0"/>
        <w:snapToGrid w:val="0"/>
        <w:spacing w:line="500" w:lineRule="exact"/>
        <w:ind w:firstLine="420" w:firstLineChars="200"/>
        <w:rPr>
          <w:color w:val="000000"/>
          <w:szCs w:val="21"/>
        </w:rPr>
      </w:pPr>
      <w:r>
        <w:rPr>
          <w:color w:val="000000"/>
          <w:szCs w:val="21"/>
        </w:rPr>
        <w:t>2）查体要点：颈部触诊应仔细检查颈部淋巴结大小、活动度及与周围组织的关系。间接喉镜检查可有以下阳性发现：声带增厚，表面粗糙不平，颗粒状隆起，乳头状或菜花状肿物，声带运动受限或固定，溃疡，在喉部其他位置或下咽部出现新生物或溃疡。可疑病例应进一步做活组织病理学检查，以明确诊断。</w:t>
      </w:r>
    </w:p>
    <w:p>
      <w:pPr>
        <w:adjustRightInd w:val="0"/>
        <w:snapToGrid w:val="0"/>
        <w:spacing w:line="500" w:lineRule="exact"/>
        <w:ind w:firstLine="420" w:firstLineChars="200"/>
        <w:rPr>
          <w:color w:val="000000"/>
          <w:szCs w:val="21"/>
        </w:rPr>
      </w:pPr>
      <w:r>
        <w:rPr>
          <w:color w:val="000000"/>
          <w:szCs w:val="21"/>
        </w:rPr>
        <w:t>3）辅助检查要点：注意与以下疾病相鉴别，可疑病例需做纤维喉镜检查，进一步明确诊断。</w:t>
      </w:r>
    </w:p>
    <w:p>
      <w:pPr>
        <w:adjustRightInd w:val="0"/>
        <w:snapToGrid w:val="0"/>
        <w:spacing w:line="500" w:lineRule="exact"/>
        <w:ind w:firstLine="420"/>
        <w:rPr>
          <w:color w:val="000000"/>
          <w:szCs w:val="21"/>
        </w:rPr>
      </w:pPr>
      <w:r>
        <w:rPr>
          <w:color w:val="000000"/>
          <w:szCs w:val="21"/>
        </w:rPr>
        <w:t>①会厌囊肿：是因腺管阻塞导致黏液潴留所形成的喉黏液囊肿，多位于会厌舌面，体检中行间接喉镜检查时经常遇到。小囊肿常无自觉症状，不需治疗，合格；囊肿较大者应做局部治疗，治愈后者合格。</w:t>
      </w:r>
    </w:p>
    <w:p>
      <w:pPr>
        <w:adjustRightInd w:val="0"/>
        <w:snapToGrid w:val="0"/>
        <w:spacing w:line="500" w:lineRule="exact"/>
        <w:ind w:firstLine="420"/>
        <w:rPr>
          <w:color w:val="000000"/>
          <w:szCs w:val="21"/>
        </w:rPr>
      </w:pPr>
      <w:r>
        <w:rPr>
          <w:color w:val="000000"/>
          <w:szCs w:val="21"/>
        </w:rPr>
        <w:t>②喉乳头状瘤：是喉部常见的良性肿瘤，发展缓慢，常见症状为声音嘶哑。本病有发生恶变危险，应及时手术，治愈者合格。</w:t>
      </w:r>
    </w:p>
    <w:p>
      <w:pPr>
        <w:adjustRightInd w:val="0"/>
        <w:snapToGrid w:val="0"/>
        <w:spacing w:line="500" w:lineRule="exact"/>
        <w:ind w:firstLine="420"/>
        <w:rPr>
          <w:color w:val="000000"/>
          <w:szCs w:val="21"/>
        </w:rPr>
      </w:pPr>
      <w:r>
        <w:rPr>
          <w:color w:val="000000"/>
          <w:szCs w:val="21"/>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adjustRightInd w:val="0"/>
        <w:snapToGrid w:val="0"/>
        <w:spacing w:line="500" w:lineRule="exact"/>
        <w:ind w:firstLine="420"/>
        <w:rPr>
          <w:color w:val="000000"/>
          <w:szCs w:val="21"/>
        </w:rPr>
      </w:pPr>
      <w:r>
        <w:rPr>
          <w:color w:val="000000"/>
          <w:szCs w:val="21"/>
        </w:rPr>
        <w:t>④声带息肉：声音嘶哑为主要症状，喉镜检查在声带游离缘前中1/3交界处有表面光滑、半透明、带蒂的新生物，确诊需组织病理学检查。经手术切除并经病理证实为良性者，合格。</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.2.2.5  中耳癌</w:t>
      </w:r>
      <w:r>
        <w:rPr>
          <w:color w:val="000000"/>
          <w:szCs w:val="21"/>
        </w:rPr>
        <w:t xml:space="preserve">  较为少见，但预后不佳，平均5年生存率约为50%。即使手术后也属不合格。</w:t>
      </w:r>
    </w:p>
    <w:p>
      <w:pPr>
        <w:adjustRightInd w:val="0"/>
        <w:snapToGrid w:val="0"/>
        <w:spacing w:line="500" w:lineRule="exact"/>
        <w:ind w:firstLine="420" w:firstLineChars="200"/>
        <w:rPr>
          <w:color w:val="000000"/>
          <w:szCs w:val="21"/>
        </w:rPr>
      </w:pPr>
      <w:r>
        <w:rPr>
          <w:color w:val="000000"/>
          <w:szCs w:val="21"/>
        </w:rPr>
        <w:t>1）病史询问要点：有无耳痛（早期症状）、外耳道内有血性分泌物（早期主要症状）、听力减退及张口困难等病史。张口困难早期可因炎症、疼痛而反射性引起颞颌关节僵直所致，晚期则多因癌肿侵犯颞颌关节所致。</w:t>
      </w:r>
    </w:p>
    <w:p>
      <w:pPr>
        <w:adjustRightInd w:val="0"/>
        <w:snapToGrid w:val="0"/>
        <w:spacing w:line="500" w:lineRule="exact"/>
        <w:ind w:firstLine="420" w:firstLineChars="200"/>
        <w:rPr>
          <w:color w:val="000000"/>
          <w:szCs w:val="21"/>
        </w:rPr>
      </w:pPr>
      <w:r>
        <w:rPr>
          <w:color w:val="000000"/>
          <w:szCs w:val="21"/>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adjustRightInd w:val="0"/>
        <w:snapToGrid w:val="0"/>
        <w:spacing w:line="500" w:lineRule="exact"/>
        <w:ind w:firstLine="420" w:firstLineChars="200"/>
        <w:rPr>
          <w:color w:val="000000"/>
          <w:szCs w:val="21"/>
        </w:rPr>
      </w:pPr>
      <w:r>
        <w:rPr>
          <w:color w:val="000000"/>
          <w:szCs w:val="21"/>
        </w:rPr>
        <w:t>3）辅助检查要点：可疑病例应作肿物活组织病理学检查，以明确诊断。</w:t>
      </w:r>
    </w:p>
    <w:p>
      <w:pPr>
        <w:adjustRightInd w:val="0"/>
        <w:snapToGrid w:val="0"/>
        <w:spacing w:line="500" w:lineRule="exact"/>
        <w:ind w:firstLine="420" w:firstLineChars="200"/>
        <w:rPr>
          <w:color w:val="000000"/>
          <w:szCs w:val="21"/>
        </w:rPr>
      </w:pPr>
      <w:r>
        <w:rPr>
          <w:rFonts w:hint="eastAsia"/>
          <w:bCs/>
          <w:color w:val="000000"/>
          <w:szCs w:val="21"/>
        </w:rPr>
        <w:t>20</w:t>
      </w:r>
      <w:r>
        <w:rPr>
          <w:bCs/>
          <w:color w:val="000000"/>
          <w:szCs w:val="21"/>
        </w:rPr>
        <w:t xml:space="preserve">.2.2.6  听神经瘤  </w:t>
      </w:r>
      <w:r>
        <w:rPr>
          <w:color w:val="000000"/>
          <w:szCs w:val="21"/>
        </w:rPr>
        <w:t>为耳神经外科最常见的良性肿瘤，占小脑桥脑角肿瘤的70%～80%，占颅内肿瘤总数的5%～10%。好发年龄为20～50岁。单侧患病居绝大多数，双侧听神经瘤仅占总数的4%左右。本病虽属良性肿瘤，但症状严重，早期可出现一侧耳鸣、听力减退及眩晕；随着肿瘤的增大，可压迫同侧的面神经和三叉神经，出现面肌抽搐或有轻度周围型面瘫；肿瘤体积大时，可压迫脑干、小脑及后组颅神经，引起交叉性偏瘫、小脑性共济失调、步态不稳、发音困难、声音嘶哑、吞咽困难等；发生脑脊液循环梗阻则有头痛、呕吐、视力减退或继发性视神经萎缩等。</w:t>
      </w:r>
      <w:r>
        <w:rPr>
          <w:bCs/>
          <w:color w:val="000000"/>
          <w:szCs w:val="21"/>
        </w:rPr>
        <w:t>听神经瘤首选手术治疗，</w:t>
      </w:r>
      <w:r>
        <w:rPr>
          <w:color w:val="000000"/>
          <w:szCs w:val="21"/>
        </w:rPr>
        <w:t>若能完全切除可获得彻底治愈。治愈后无并发症者可作合格结论。</w:t>
      </w:r>
    </w:p>
    <w:p>
      <w:pPr>
        <w:adjustRightInd w:val="0"/>
        <w:snapToGrid w:val="0"/>
        <w:spacing w:line="500" w:lineRule="exact"/>
        <w:ind w:firstLine="420" w:firstLineChars="200"/>
        <w:rPr>
          <w:color w:val="000000"/>
          <w:szCs w:val="21"/>
        </w:rPr>
      </w:pPr>
      <w:r>
        <w:rPr>
          <w:color w:val="000000"/>
          <w:szCs w:val="21"/>
        </w:rPr>
        <w:t>1）病史询问要点：有无肿瘤压迫耳蜗及前庭神经所致的表现，如头昏、眩晕、耳鸣、听力减退等；对出现渐进性听力减退但无其他原因（如外伤、中耳炎等）可解释者，应想到听神经瘤的可能。</w:t>
      </w:r>
    </w:p>
    <w:p>
      <w:pPr>
        <w:adjustRightInd w:val="0"/>
        <w:snapToGrid w:val="0"/>
        <w:spacing w:line="500" w:lineRule="exact"/>
        <w:ind w:firstLine="420" w:firstLineChars="200"/>
        <w:rPr>
          <w:color w:val="000000"/>
          <w:szCs w:val="21"/>
        </w:rPr>
      </w:pPr>
      <w:r>
        <w:rPr>
          <w:color w:val="000000"/>
          <w:szCs w:val="21"/>
        </w:rPr>
        <w:t>2）查体要点：早期体征不明显，鼓膜多正常；晚期可出现小脑性共济运动失调、邻近颅神经受侵症状及颅内压增高表现，体检中一般不易遇到。</w:t>
      </w:r>
    </w:p>
    <w:p>
      <w:pPr>
        <w:adjustRightInd w:val="0"/>
        <w:snapToGrid w:val="0"/>
        <w:spacing w:line="500" w:lineRule="exact"/>
        <w:ind w:firstLine="420"/>
        <w:rPr>
          <w:color w:val="000000"/>
          <w:szCs w:val="21"/>
        </w:rPr>
      </w:pPr>
      <w:r>
        <w:rPr>
          <w:color w:val="000000"/>
          <w:szCs w:val="21"/>
        </w:rPr>
        <w:t>3）辅助检查要点：对可疑病例可根据诊断需要选择听性脑干反应（ABR）、</w:t>
      </w:r>
      <w:r>
        <w:rPr>
          <w:rFonts w:hint="eastAsia"/>
          <w:color w:val="000000"/>
          <w:szCs w:val="21"/>
        </w:rPr>
        <w:t>米</w:t>
      </w:r>
      <w:r>
        <w:rPr>
          <w:color w:val="000000"/>
          <w:szCs w:val="21"/>
        </w:rPr>
        <w:t>RI等检查，以进一步确诊。</w:t>
      </w:r>
    </w:p>
    <w:p>
      <w:pPr>
        <w:adjustRightInd w:val="0"/>
        <w:snapToGrid w:val="0"/>
        <w:spacing w:line="500" w:lineRule="exact"/>
        <w:rPr>
          <w:rFonts w:hint="eastAsia" w:ascii="宋体" w:hAnsi="宋体" w:cs="宋体"/>
          <w:b/>
          <w:bCs/>
          <w:color w:val="000000"/>
          <w:szCs w:val="21"/>
        </w:rPr>
      </w:pPr>
      <w:r>
        <w:rPr>
          <w:rFonts w:hint="eastAsia" w:eastAsia="黑体"/>
          <w:b/>
          <w:bCs/>
          <w:color w:val="000000"/>
          <w:szCs w:val="21"/>
        </w:rPr>
        <w:t xml:space="preserve">   </w:t>
      </w:r>
      <w:r>
        <w:rPr>
          <w:rFonts w:hint="eastAsia" w:ascii="宋体" w:hAnsi="宋体" w:cs="宋体"/>
          <w:b/>
          <w:bCs/>
          <w:color w:val="000000"/>
          <w:szCs w:val="21"/>
        </w:rPr>
        <w:t xml:space="preserve"> 20.3  注意事项</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.3.1  本条款的听力标准已很宽松，低于此标准者会因言语分辨率很低而导致交谈困难，影响社交能力，因此检查者应严格掌握本条款标准，不能自行放宽标准。</w:t>
      </w:r>
    </w:p>
    <w:p>
      <w:pPr>
        <w:adjustRightInd w:val="0"/>
        <w:snapToGrid w:val="0"/>
        <w:spacing w:line="500" w:lineRule="exact"/>
        <w:ind w:firstLine="420" w:firstLineChars="200"/>
        <w:rPr>
          <w:szCs w:val="21"/>
        </w:rPr>
      </w:pPr>
      <w:r>
        <w:rPr>
          <w:rFonts w:hint="eastAsia"/>
          <w:color w:val="000000"/>
          <w:szCs w:val="21"/>
        </w:rPr>
        <w:t>20</w:t>
      </w:r>
      <w:r>
        <w:rPr>
          <w:color w:val="000000"/>
          <w:szCs w:val="21"/>
        </w:rPr>
        <w:t>.3.2  听力障碍</w:t>
      </w:r>
      <w:r>
        <w:rPr>
          <w:szCs w:val="21"/>
        </w:rPr>
        <w:t>的病因复杂</w:t>
      </w:r>
      <w:r>
        <w:rPr>
          <w:color w:val="000000"/>
          <w:szCs w:val="21"/>
        </w:rPr>
        <w:t>，</w:t>
      </w:r>
      <w:r>
        <w:rPr>
          <w:szCs w:val="21"/>
        </w:rPr>
        <w:t>有些病因体检中一时难以明确，且体检的目的主要不是针对病因寻找治疗方法，故对</w:t>
      </w:r>
      <w:r>
        <w:rPr>
          <w:color w:val="000000"/>
          <w:szCs w:val="21"/>
        </w:rPr>
        <w:t>听力障碍的</w:t>
      </w:r>
      <w:r>
        <w:rPr>
          <w:szCs w:val="21"/>
        </w:rPr>
        <w:t>病因或性质不必过分深究，能够根据耳语听力检查作出是否合格的结论即可。</w:t>
      </w:r>
    </w:p>
    <w:p>
      <w:pPr>
        <w:adjustRightInd w:val="0"/>
        <w:snapToGrid w:val="0"/>
        <w:spacing w:line="500" w:lineRule="exact"/>
        <w:ind w:firstLine="420" w:firstLineChars="200"/>
        <w:rPr>
          <w:color w:val="000000"/>
          <w:szCs w:val="21"/>
        </w:rPr>
      </w:pPr>
      <w:r>
        <w:rPr>
          <w:rFonts w:hint="eastAsia"/>
          <w:color w:val="000000"/>
          <w:szCs w:val="21"/>
        </w:rPr>
        <w:t>20</w:t>
      </w:r>
      <w:r>
        <w:rPr>
          <w:color w:val="000000"/>
          <w:szCs w:val="21"/>
        </w:rPr>
        <w:t>.3.3  如果发现阳性体征，尤其是新生物（肿物），一般可先对其进行描述，暂不作诊断和结论，待进一步检查（包括病理学检查）明确病变性质后结论。</w:t>
      </w:r>
    </w:p>
    <w:p>
      <w:pPr>
        <w:adjustRightInd w:val="0"/>
        <w:snapToGrid w:val="0"/>
        <w:spacing w:line="500" w:lineRule="exact"/>
        <w:ind w:firstLine="420" w:firstLineChars="200"/>
        <w:rPr>
          <w:color w:val="000000"/>
          <w:szCs w:val="21"/>
        </w:rPr>
      </w:pPr>
    </w:p>
    <w:p>
      <w:pPr>
        <w:widowControl/>
        <w:adjustRightInd w:val="0"/>
        <w:snapToGrid w:val="0"/>
        <w:spacing w:line="500" w:lineRule="exact"/>
        <w:jc w:val="left"/>
        <w:rPr>
          <w:rFonts w:hint="eastAsia" w:ascii="黑体" w:hAnsi="宋体" w:eastAsia="黑体" w:cs="宋体"/>
          <w:b/>
          <w:bCs/>
          <w:kern w:val="0"/>
          <w:szCs w:val="21"/>
        </w:rPr>
      </w:pPr>
      <w:r>
        <w:rPr>
          <w:rFonts w:hint="eastAsia" w:ascii="黑体" w:hAnsi="宋体" w:eastAsia="黑体" w:cs="宋体"/>
          <w:b/>
          <w:bCs/>
          <w:kern w:val="0"/>
          <w:szCs w:val="21"/>
        </w:rPr>
        <w:t>21  关于其他严重疾病</w:t>
      </w:r>
    </w:p>
    <w:p>
      <w:pPr>
        <w:widowControl/>
        <w:adjustRightInd w:val="0"/>
        <w:snapToGrid w:val="0"/>
        <w:spacing w:line="500" w:lineRule="exact"/>
        <w:jc w:val="left"/>
        <w:outlineLvl w:val="0"/>
        <w:rPr>
          <w:rFonts w:hint="eastAsia" w:ascii="楷体_GB2312" w:hAnsi="宋体" w:eastAsia="楷体_GB2312" w:cs="宋体"/>
          <w:b/>
          <w:bCs/>
          <w:kern w:val="0"/>
          <w:szCs w:val="21"/>
        </w:rPr>
      </w:pPr>
      <w:r>
        <w:rPr>
          <w:rFonts w:hint="eastAsia" w:ascii="楷体_GB2312" w:hAnsi="宋体" w:eastAsia="楷体_GB2312" w:cs="宋体"/>
          <w:b/>
          <w:bCs/>
          <w:kern w:val="0"/>
          <w:szCs w:val="21"/>
        </w:rPr>
        <w:t xml:space="preserve">    第二十一条  未纳入体检标准，影响正常履行职责的其他严重疾病，不合格。</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另外，残疾和身高、相貌等身体条件方面的问题在公务员录用体检中也会遇到。现就这些问题作如下说明：</w:t>
      </w:r>
    </w:p>
    <w:p>
      <w:pPr>
        <w:widowControl/>
        <w:adjustRightInd w:val="0"/>
        <w:snapToGrid w:val="0"/>
        <w:spacing w:line="500" w:lineRule="exact"/>
        <w:ind w:firstLine="411" w:firstLineChars="196"/>
        <w:jc w:val="left"/>
        <w:rPr>
          <w:rFonts w:hint="eastAsia" w:ascii="宋体" w:hAnsi="宋体" w:cs="宋体"/>
          <w:kern w:val="0"/>
          <w:szCs w:val="21"/>
        </w:rPr>
      </w:pPr>
      <w:r>
        <w:rPr>
          <w:rFonts w:hint="eastAsia" w:ascii="宋体" w:hAnsi="宋体" w:cs="宋体"/>
          <w:bCs/>
          <w:kern w:val="0"/>
          <w:szCs w:val="21"/>
        </w:rPr>
        <w:t>1.关于残疾：</w:t>
      </w:r>
      <w:r>
        <w:rPr>
          <w:rFonts w:hint="eastAsia" w:ascii="宋体" w:hAnsi="宋体" w:cs="宋体"/>
          <w:kern w:val="0"/>
          <w:szCs w:val="21"/>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体检时，医师要注意询问受检者致残的原因及有无残疾证，并在体检表中详细描述残疾肢体的部位、性质、功能，有残疾证者应在外科其他栏目中记录残疾证号码。</w:t>
      </w:r>
    </w:p>
    <w:p>
      <w:pPr>
        <w:widowControl/>
        <w:adjustRightInd w:val="0"/>
        <w:snapToGrid w:val="0"/>
        <w:spacing w:line="500" w:lineRule="exact"/>
        <w:ind w:firstLine="420" w:firstLineChars="200"/>
        <w:jc w:val="left"/>
        <w:rPr>
          <w:rFonts w:hint="eastAsia" w:ascii="宋体" w:hAnsi="宋体" w:cs="宋体"/>
          <w:kern w:val="0"/>
          <w:szCs w:val="21"/>
        </w:rPr>
      </w:pPr>
      <w:r>
        <w:rPr>
          <w:rFonts w:hint="eastAsia" w:ascii="宋体" w:hAnsi="宋体" w:cs="宋体"/>
          <w:bCs/>
          <w:kern w:val="0"/>
          <w:szCs w:val="21"/>
        </w:rPr>
        <w:t>2.关于身高及外貌：</w:t>
      </w:r>
      <w:r>
        <w:rPr>
          <w:rFonts w:hint="eastAsia" w:ascii="宋体" w:hAnsi="宋体" w:cs="宋体"/>
          <w:kern w:val="0"/>
          <w:szCs w:val="21"/>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widowControl/>
        <w:adjustRightInd w:val="0"/>
        <w:snapToGrid w:val="0"/>
        <w:spacing w:line="500" w:lineRule="exact"/>
        <w:ind w:firstLine="420" w:firstLineChars="200"/>
        <w:jc w:val="left"/>
        <w:rPr>
          <w:rFonts w:hint="eastAsia" w:ascii="宋体" w:hAnsi="宋体" w:cs="宋体"/>
          <w:kern w:val="0"/>
          <w:szCs w:val="21"/>
        </w:rPr>
      </w:pPr>
    </w:p>
    <w:p>
      <w:pPr>
        <w:pStyle w:val="2"/>
        <w:adjustRightInd w:val="0"/>
        <w:snapToGrid w:val="0"/>
        <w:spacing w:before="0" w:after="0" w:line="500" w:lineRule="exact"/>
        <w:jc w:val="left"/>
        <w:rPr>
          <w:sz w:val="21"/>
          <w:szCs w:val="21"/>
        </w:rPr>
      </w:pPr>
      <w:bookmarkStart w:id="26" w:name="_Toc391888343"/>
      <w:r>
        <w:rPr>
          <w:sz w:val="21"/>
          <w:szCs w:val="21"/>
        </w:rPr>
        <w:t>附录A  公务员录用体检常规检查项目</w:t>
      </w:r>
      <w:bookmarkEnd w:id="26"/>
    </w:p>
    <w:p>
      <w:pPr>
        <w:tabs>
          <w:tab w:val="left" w:pos="1800"/>
        </w:tabs>
        <w:adjustRightInd w:val="0"/>
        <w:snapToGrid w:val="0"/>
        <w:spacing w:line="500" w:lineRule="exact"/>
        <w:rPr>
          <w:b/>
          <w:bCs/>
          <w:szCs w:val="21"/>
        </w:rPr>
      </w:pPr>
      <w:r>
        <w:rPr>
          <w:rFonts w:hint="eastAsia"/>
          <w:b/>
          <w:bCs/>
          <w:szCs w:val="21"/>
        </w:rPr>
        <w:t xml:space="preserve">    </w:t>
      </w:r>
      <w:r>
        <w:rPr>
          <w:b/>
          <w:bCs/>
          <w:szCs w:val="21"/>
        </w:rPr>
        <w:t xml:space="preserve">一、临床物理检查： </w:t>
      </w:r>
    </w:p>
    <w:p>
      <w:pPr>
        <w:tabs>
          <w:tab w:val="left" w:pos="1800"/>
        </w:tabs>
        <w:adjustRightInd w:val="0"/>
        <w:snapToGrid w:val="0"/>
        <w:spacing w:line="500" w:lineRule="exact"/>
        <w:ind w:firstLine="420" w:firstLineChars="200"/>
        <w:rPr>
          <w:szCs w:val="21"/>
        </w:rPr>
      </w:pPr>
      <w:r>
        <w:rPr>
          <w:szCs w:val="21"/>
        </w:rPr>
        <w:t>一般健康检查：含</w:t>
      </w:r>
    </w:p>
    <w:p>
      <w:pPr>
        <w:tabs>
          <w:tab w:val="left" w:pos="1800"/>
        </w:tabs>
        <w:adjustRightInd w:val="0"/>
        <w:snapToGrid w:val="0"/>
        <w:spacing w:line="500" w:lineRule="exact"/>
        <w:ind w:firstLine="420" w:firstLineChars="200"/>
        <w:rPr>
          <w:szCs w:val="21"/>
        </w:rPr>
      </w:pPr>
      <w:r>
        <w:rPr>
          <w:szCs w:val="21"/>
        </w:rPr>
        <w:t>1.一般检查：身高、体重、血压。</w:t>
      </w:r>
    </w:p>
    <w:p>
      <w:pPr>
        <w:tabs>
          <w:tab w:val="left" w:pos="1800"/>
        </w:tabs>
        <w:adjustRightInd w:val="0"/>
        <w:snapToGrid w:val="0"/>
        <w:spacing w:line="500" w:lineRule="exact"/>
        <w:rPr>
          <w:szCs w:val="21"/>
        </w:rPr>
      </w:pPr>
      <w:r>
        <w:rPr>
          <w:szCs w:val="21"/>
        </w:rPr>
        <w:t xml:space="preserve">    2.内科检查：病史搜集、心、肺、肝、脾、神经系统等检查。</w:t>
      </w:r>
    </w:p>
    <w:p>
      <w:pPr>
        <w:adjustRightInd w:val="0"/>
        <w:snapToGrid w:val="0"/>
        <w:spacing w:line="500" w:lineRule="exact"/>
        <w:ind w:left="840" w:leftChars="200" w:hanging="420" w:hangingChars="200"/>
        <w:rPr>
          <w:szCs w:val="21"/>
        </w:rPr>
      </w:pPr>
      <w:r>
        <w:rPr>
          <w:szCs w:val="21"/>
        </w:rPr>
        <w:t>3.外科检查：病史搜集、甲状腺、乳腺、浅表淋巴结、皮肤、脊柱及四肢关节、头颅、</w:t>
      </w:r>
    </w:p>
    <w:p>
      <w:pPr>
        <w:adjustRightInd w:val="0"/>
        <w:snapToGrid w:val="0"/>
        <w:spacing w:line="500" w:lineRule="exact"/>
        <w:rPr>
          <w:szCs w:val="21"/>
        </w:rPr>
      </w:pPr>
      <w:r>
        <w:rPr>
          <w:szCs w:val="21"/>
        </w:rPr>
        <w:t>男性外生殖器检查、肛门直肠检查（含肛诊检查）等。（相关特殊职位加查文身）</w:t>
      </w:r>
    </w:p>
    <w:p>
      <w:pPr>
        <w:adjustRightInd w:val="0"/>
        <w:snapToGrid w:val="0"/>
        <w:spacing w:line="500" w:lineRule="exact"/>
        <w:ind w:left="735" w:leftChars="200" w:hanging="315" w:hangingChars="150"/>
        <w:rPr>
          <w:szCs w:val="21"/>
        </w:rPr>
      </w:pPr>
      <w:r>
        <w:rPr>
          <w:szCs w:val="21"/>
        </w:rPr>
        <w:t>4.眼科检查：视功能检查（含视力、色觉）、眼睑、结膜、泪器、眼肌、角膜、巩膜、</w:t>
      </w:r>
    </w:p>
    <w:p>
      <w:pPr>
        <w:adjustRightInd w:val="0"/>
        <w:snapToGrid w:val="0"/>
        <w:spacing w:line="500" w:lineRule="exact"/>
        <w:rPr>
          <w:szCs w:val="21"/>
        </w:rPr>
      </w:pPr>
      <w:r>
        <w:rPr>
          <w:szCs w:val="21"/>
        </w:rPr>
        <w:t>瞳孔等（含小瞳孔眼底检查）等。</w:t>
      </w:r>
    </w:p>
    <w:p>
      <w:pPr>
        <w:adjustRightInd w:val="0"/>
        <w:snapToGrid w:val="0"/>
        <w:spacing w:line="500" w:lineRule="exact"/>
        <w:ind w:left="735" w:leftChars="200" w:hanging="315" w:hangingChars="150"/>
        <w:rPr>
          <w:szCs w:val="21"/>
        </w:rPr>
      </w:pPr>
      <w:r>
        <w:rPr>
          <w:szCs w:val="21"/>
        </w:rPr>
        <w:t>5.耳鼻喉科检查：耳语试验、耳（外耳、鼓膜）、鼻（外鼻、鼻腔）、口咽部、喉部等（含</w:t>
      </w:r>
    </w:p>
    <w:p>
      <w:pPr>
        <w:adjustRightInd w:val="0"/>
        <w:snapToGrid w:val="0"/>
        <w:spacing w:line="500" w:lineRule="exact"/>
        <w:rPr>
          <w:szCs w:val="21"/>
        </w:rPr>
      </w:pPr>
      <w:r>
        <w:rPr>
          <w:szCs w:val="21"/>
        </w:rPr>
        <w:t>间接喉镜检查）等。（相关特殊职位加查嗅觉）</w:t>
      </w:r>
    </w:p>
    <w:p>
      <w:pPr>
        <w:adjustRightInd w:val="0"/>
        <w:snapToGrid w:val="0"/>
        <w:spacing w:line="500" w:lineRule="exact"/>
        <w:ind w:firstLine="420" w:firstLineChars="200"/>
        <w:rPr>
          <w:szCs w:val="21"/>
        </w:rPr>
      </w:pPr>
      <w:r>
        <w:rPr>
          <w:szCs w:val="21"/>
        </w:rPr>
        <w:t>6.口腔科检查：唇腭舌、腮腺、口腔粘膜、颞下颌关节等。</w:t>
      </w:r>
    </w:p>
    <w:p>
      <w:pPr>
        <w:tabs>
          <w:tab w:val="left" w:pos="1800"/>
        </w:tabs>
        <w:adjustRightInd w:val="0"/>
        <w:snapToGrid w:val="0"/>
        <w:spacing w:line="500" w:lineRule="exact"/>
        <w:rPr>
          <w:b/>
          <w:bCs/>
          <w:szCs w:val="21"/>
        </w:rPr>
      </w:pPr>
      <w:r>
        <w:rPr>
          <w:rFonts w:hint="eastAsia"/>
          <w:b/>
          <w:bCs/>
          <w:szCs w:val="21"/>
        </w:rPr>
        <w:t xml:space="preserve">    </w:t>
      </w:r>
      <w:r>
        <w:rPr>
          <w:b/>
          <w:bCs/>
          <w:szCs w:val="21"/>
        </w:rPr>
        <w:t xml:space="preserve">二、妇科检查： </w:t>
      </w:r>
    </w:p>
    <w:p>
      <w:pPr>
        <w:adjustRightInd w:val="0"/>
        <w:snapToGrid w:val="0"/>
        <w:spacing w:line="500" w:lineRule="exact"/>
        <w:ind w:firstLine="420" w:firstLineChars="200"/>
        <w:rPr>
          <w:szCs w:val="21"/>
        </w:rPr>
      </w:pPr>
      <w:r>
        <w:rPr>
          <w:szCs w:val="21"/>
        </w:rPr>
        <w:t>1.病史搜集：含月经史、婚育史等。</w:t>
      </w:r>
    </w:p>
    <w:p>
      <w:pPr>
        <w:adjustRightInd w:val="0"/>
        <w:snapToGrid w:val="0"/>
        <w:spacing w:line="500" w:lineRule="exact"/>
        <w:ind w:firstLine="420" w:firstLineChars="200"/>
        <w:rPr>
          <w:szCs w:val="21"/>
        </w:rPr>
      </w:pPr>
      <w:r>
        <w:rPr>
          <w:szCs w:val="21"/>
        </w:rPr>
        <w:t>2.内诊：对已婚者做双合诊检查，外阴、阴道、宫颈、宫体、附件、阴道分泌物性状等。</w:t>
      </w:r>
    </w:p>
    <w:p>
      <w:pPr>
        <w:adjustRightInd w:val="0"/>
        <w:snapToGrid w:val="0"/>
        <w:spacing w:line="500" w:lineRule="exact"/>
        <w:ind w:firstLine="420" w:firstLineChars="200"/>
        <w:rPr>
          <w:szCs w:val="21"/>
        </w:rPr>
      </w:pPr>
      <w:r>
        <w:rPr>
          <w:szCs w:val="21"/>
        </w:rPr>
        <w:t>3.肛诊：对未婚者做肛腹诊检查，外阴、宫体、附件等。</w:t>
      </w:r>
    </w:p>
    <w:p>
      <w:pPr>
        <w:tabs>
          <w:tab w:val="left" w:pos="1800"/>
        </w:tabs>
        <w:adjustRightInd w:val="0"/>
        <w:snapToGrid w:val="0"/>
        <w:spacing w:line="500" w:lineRule="exact"/>
        <w:rPr>
          <w:bCs/>
          <w:szCs w:val="21"/>
        </w:rPr>
      </w:pPr>
      <w:r>
        <w:rPr>
          <w:rFonts w:hint="eastAsia"/>
          <w:b/>
          <w:bCs/>
          <w:szCs w:val="21"/>
        </w:rPr>
        <w:t xml:space="preserve">    </w:t>
      </w:r>
      <w:r>
        <w:rPr>
          <w:b/>
          <w:bCs/>
          <w:szCs w:val="21"/>
        </w:rPr>
        <w:t>三、心电图检查：</w:t>
      </w:r>
      <w:r>
        <w:rPr>
          <w:bCs/>
          <w:szCs w:val="21"/>
        </w:rPr>
        <w:t>电脑多导联心电图</w:t>
      </w:r>
    </w:p>
    <w:p>
      <w:pPr>
        <w:tabs>
          <w:tab w:val="left" w:pos="1800"/>
        </w:tabs>
        <w:adjustRightInd w:val="0"/>
        <w:snapToGrid w:val="0"/>
        <w:spacing w:line="500" w:lineRule="exact"/>
        <w:rPr>
          <w:b/>
          <w:bCs/>
          <w:szCs w:val="21"/>
        </w:rPr>
      </w:pPr>
      <w:r>
        <w:rPr>
          <w:rFonts w:hint="eastAsia"/>
          <w:b/>
          <w:bCs/>
          <w:szCs w:val="21"/>
        </w:rPr>
        <w:t xml:space="preserve">    </w:t>
      </w:r>
      <w:r>
        <w:rPr>
          <w:b/>
          <w:bCs/>
          <w:szCs w:val="21"/>
        </w:rPr>
        <w:t>四、腹部B超检查：</w:t>
      </w:r>
      <w:r>
        <w:rPr>
          <w:bCs/>
          <w:szCs w:val="21"/>
        </w:rPr>
        <w:t>含肝、胆、胰、脾、双肾</w:t>
      </w:r>
    </w:p>
    <w:p>
      <w:pPr>
        <w:tabs>
          <w:tab w:val="left" w:pos="1800"/>
        </w:tabs>
        <w:adjustRightInd w:val="0"/>
        <w:snapToGrid w:val="0"/>
        <w:spacing w:line="500" w:lineRule="exact"/>
        <w:rPr>
          <w:b/>
          <w:bCs/>
          <w:szCs w:val="21"/>
        </w:rPr>
      </w:pPr>
      <w:r>
        <w:rPr>
          <w:rFonts w:hint="eastAsia"/>
          <w:b/>
          <w:bCs/>
          <w:szCs w:val="21"/>
        </w:rPr>
        <w:t xml:space="preserve">    </w:t>
      </w:r>
      <w:r>
        <w:rPr>
          <w:b/>
          <w:bCs/>
          <w:szCs w:val="21"/>
        </w:rPr>
        <w:t>五、胸部X线检查：</w:t>
      </w:r>
      <w:r>
        <w:rPr>
          <w:bCs/>
          <w:szCs w:val="21"/>
        </w:rPr>
        <w:t>胸正位片</w:t>
      </w:r>
    </w:p>
    <w:p>
      <w:pPr>
        <w:tabs>
          <w:tab w:val="left" w:pos="1800"/>
        </w:tabs>
        <w:adjustRightInd w:val="0"/>
        <w:snapToGrid w:val="0"/>
        <w:spacing w:line="500" w:lineRule="exact"/>
        <w:rPr>
          <w:b/>
          <w:bCs/>
          <w:szCs w:val="21"/>
        </w:rPr>
      </w:pPr>
      <w:r>
        <w:rPr>
          <w:rFonts w:hint="eastAsia"/>
          <w:b/>
          <w:bCs/>
          <w:szCs w:val="21"/>
        </w:rPr>
        <w:t xml:space="preserve">    </w:t>
      </w:r>
      <w:r>
        <w:rPr>
          <w:b/>
          <w:bCs/>
          <w:szCs w:val="21"/>
        </w:rPr>
        <w:t xml:space="preserve">六、化验项目： </w:t>
      </w:r>
    </w:p>
    <w:p>
      <w:pPr>
        <w:tabs>
          <w:tab w:val="left" w:pos="1800"/>
        </w:tabs>
        <w:adjustRightInd w:val="0"/>
        <w:snapToGrid w:val="0"/>
        <w:spacing w:line="500" w:lineRule="exact"/>
        <w:ind w:firstLine="420" w:firstLineChars="200"/>
        <w:rPr>
          <w:szCs w:val="21"/>
        </w:rPr>
      </w:pPr>
      <w:r>
        <w:rPr>
          <w:szCs w:val="21"/>
        </w:rPr>
        <w:t>1.血常规（全血细胞分析）：</w:t>
      </w:r>
    </w:p>
    <w:p>
      <w:pPr>
        <w:tabs>
          <w:tab w:val="left" w:pos="1800"/>
        </w:tabs>
        <w:adjustRightInd w:val="0"/>
        <w:snapToGrid w:val="0"/>
        <w:spacing w:line="500" w:lineRule="exact"/>
        <w:ind w:firstLine="420" w:firstLineChars="200"/>
        <w:rPr>
          <w:szCs w:val="21"/>
        </w:rPr>
      </w:pPr>
      <w:r>
        <w:rPr>
          <w:szCs w:val="21"/>
        </w:rPr>
        <w:t>2.尿常规及尿沉渣（离心镜检）：</w:t>
      </w:r>
    </w:p>
    <w:p>
      <w:pPr>
        <w:tabs>
          <w:tab w:val="left" w:pos="1800"/>
        </w:tabs>
        <w:adjustRightInd w:val="0"/>
        <w:snapToGrid w:val="0"/>
        <w:spacing w:line="500" w:lineRule="exact"/>
        <w:ind w:firstLine="420" w:firstLineChars="200"/>
        <w:rPr>
          <w:szCs w:val="21"/>
        </w:rPr>
      </w:pPr>
      <w:r>
        <w:rPr>
          <w:szCs w:val="21"/>
        </w:rPr>
        <w:t>3.血生化：</w:t>
      </w:r>
    </w:p>
    <w:p>
      <w:pPr>
        <w:adjustRightInd w:val="0"/>
        <w:snapToGrid w:val="0"/>
        <w:spacing w:line="500" w:lineRule="exact"/>
        <w:ind w:firstLine="420" w:firstLineChars="200"/>
        <w:rPr>
          <w:szCs w:val="21"/>
        </w:rPr>
      </w:pPr>
      <w:r>
        <w:rPr>
          <w:szCs w:val="21"/>
        </w:rPr>
        <w:t>3.1空腹血糖（</w:t>
      </w:r>
      <w:r>
        <w:rPr>
          <w:bCs/>
          <w:szCs w:val="21"/>
        </w:rPr>
        <w:t>FPG</w:t>
      </w:r>
      <w:r>
        <w:rPr>
          <w:szCs w:val="21"/>
        </w:rPr>
        <w:t>）。</w:t>
      </w:r>
    </w:p>
    <w:p>
      <w:pPr>
        <w:adjustRightInd w:val="0"/>
        <w:snapToGrid w:val="0"/>
        <w:spacing w:line="500" w:lineRule="exact"/>
        <w:ind w:firstLine="420" w:firstLineChars="200"/>
        <w:rPr>
          <w:szCs w:val="21"/>
        </w:rPr>
      </w:pPr>
      <w:r>
        <w:rPr>
          <w:szCs w:val="21"/>
        </w:rPr>
        <w:t>3.2丙氨酸氨基转移酶（ALT）。</w:t>
      </w:r>
    </w:p>
    <w:p>
      <w:pPr>
        <w:adjustRightInd w:val="0"/>
        <w:snapToGrid w:val="0"/>
        <w:spacing w:line="500" w:lineRule="exact"/>
        <w:ind w:firstLine="420" w:firstLineChars="200"/>
        <w:rPr>
          <w:szCs w:val="21"/>
        </w:rPr>
      </w:pPr>
      <w:r>
        <w:rPr>
          <w:szCs w:val="21"/>
        </w:rPr>
        <w:t>3.3天冬氨酸氨基转移酶（AST）。</w:t>
      </w:r>
    </w:p>
    <w:p>
      <w:pPr>
        <w:adjustRightInd w:val="0"/>
        <w:snapToGrid w:val="0"/>
        <w:spacing w:line="500" w:lineRule="exact"/>
        <w:ind w:left="735" w:leftChars="200" w:hanging="315" w:hangingChars="150"/>
        <w:rPr>
          <w:szCs w:val="21"/>
        </w:rPr>
      </w:pPr>
      <w:r>
        <w:rPr>
          <w:szCs w:val="21"/>
        </w:rPr>
        <w:t>3.4尿素（BU）。</w:t>
      </w:r>
    </w:p>
    <w:p>
      <w:pPr>
        <w:adjustRightInd w:val="0"/>
        <w:snapToGrid w:val="0"/>
        <w:spacing w:line="500" w:lineRule="exact"/>
        <w:ind w:firstLine="420" w:firstLineChars="200"/>
        <w:rPr>
          <w:szCs w:val="21"/>
        </w:rPr>
      </w:pPr>
      <w:r>
        <w:rPr>
          <w:szCs w:val="21"/>
        </w:rPr>
        <w:t>3.5肌酐（CR）。</w:t>
      </w:r>
    </w:p>
    <w:p>
      <w:pPr>
        <w:adjustRightInd w:val="0"/>
        <w:snapToGrid w:val="0"/>
        <w:spacing w:line="500" w:lineRule="exact"/>
        <w:ind w:firstLine="420" w:firstLineChars="200"/>
        <w:rPr>
          <w:szCs w:val="21"/>
        </w:rPr>
      </w:pPr>
      <w:r>
        <w:rPr>
          <w:szCs w:val="21"/>
        </w:rPr>
        <w:t>4.血免疫：</w:t>
      </w:r>
    </w:p>
    <w:p>
      <w:pPr>
        <w:adjustRightInd w:val="0"/>
        <w:snapToGrid w:val="0"/>
        <w:spacing w:line="500" w:lineRule="exact"/>
        <w:ind w:firstLine="420" w:firstLineChars="200"/>
        <w:rPr>
          <w:szCs w:val="21"/>
        </w:rPr>
      </w:pPr>
      <w:r>
        <w:rPr>
          <w:szCs w:val="21"/>
        </w:rPr>
        <w:t>4.1梅毒螺旋体血细胞凝集试验（TPHA）：</w:t>
      </w:r>
    </w:p>
    <w:p>
      <w:pPr>
        <w:adjustRightInd w:val="0"/>
        <w:snapToGrid w:val="0"/>
        <w:spacing w:line="500" w:lineRule="exact"/>
        <w:ind w:firstLine="420" w:firstLineChars="200"/>
        <w:rPr>
          <w:szCs w:val="21"/>
        </w:rPr>
      </w:pPr>
      <w:r>
        <w:rPr>
          <w:szCs w:val="21"/>
        </w:rPr>
        <w:t>4.2艾滋病毒抗体检测（抗HIV）。</w:t>
      </w:r>
    </w:p>
    <w:p>
      <w:pPr>
        <w:adjustRightInd w:val="0"/>
        <w:snapToGrid w:val="0"/>
        <w:spacing w:line="500" w:lineRule="exact"/>
        <w:ind w:left="735" w:leftChars="200" w:hanging="315" w:hangingChars="150"/>
        <w:rPr>
          <w:szCs w:val="21"/>
        </w:rPr>
      </w:pPr>
      <w:r>
        <w:rPr>
          <w:szCs w:val="21"/>
        </w:rPr>
        <w:t>注：</w:t>
      </w:r>
    </w:p>
    <w:p>
      <w:pPr>
        <w:adjustRightInd w:val="0"/>
        <w:snapToGrid w:val="0"/>
        <w:spacing w:line="500" w:lineRule="exact"/>
        <w:ind w:left="420"/>
        <w:rPr>
          <w:szCs w:val="21"/>
        </w:rPr>
      </w:pPr>
      <w:r>
        <w:rPr>
          <w:rFonts w:hint="eastAsia"/>
          <w:szCs w:val="21"/>
        </w:rPr>
        <w:t xml:space="preserve">1. </w:t>
      </w:r>
      <w:r>
        <w:rPr>
          <w:szCs w:val="21"/>
        </w:rPr>
        <w:t>以上项目适应于一般职位的公务员录用体检，对特殊职位的公务员录用体检，应根</w:t>
      </w:r>
    </w:p>
    <w:p>
      <w:pPr>
        <w:adjustRightInd w:val="0"/>
        <w:snapToGrid w:val="0"/>
        <w:spacing w:line="500" w:lineRule="exact"/>
        <w:rPr>
          <w:szCs w:val="21"/>
        </w:rPr>
      </w:pPr>
      <w:r>
        <w:rPr>
          <w:szCs w:val="21"/>
        </w:rPr>
        <w:t>据体检特殊标准具体职位要求，适当增加检查内容，如嗅觉检查、文身检查，等等。</w:t>
      </w:r>
    </w:p>
    <w:p>
      <w:pPr>
        <w:adjustRightInd w:val="0"/>
        <w:snapToGrid w:val="0"/>
        <w:spacing w:line="500" w:lineRule="exact"/>
        <w:ind w:firstLine="420"/>
        <w:rPr>
          <w:szCs w:val="21"/>
        </w:rPr>
      </w:pPr>
      <w:r>
        <w:rPr>
          <w:szCs w:val="21"/>
        </w:rPr>
        <w:t>2</w:t>
      </w:r>
      <w:r>
        <w:rPr>
          <w:rFonts w:hint="eastAsia"/>
          <w:szCs w:val="21"/>
        </w:rPr>
        <w:t xml:space="preserve">. </w:t>
      </w:r>
      <w:r>
        <w:rPr>
          <w:szCs w:val="21"/>
        </w:rPr>
        <w:t>以上项目为常规检查，如需进一步检查确定诊断的，其费用另收。</w:t>
      </w:r>
    </w:p>
    <w:p>
      <w:pPr>
        <w:adjustRightInd w:val="0"/>
        <w:snapToGrid w:val="0"/>
        <w:spacing w:line="500" w:lineRule="exact"/>
        <w:ind w:firstLine="420"/>
        <w:rPr>
          <w:szCs w:val="21"/>
        </w:rPr>
      </w:pPr>
      <w:r>
        <w:rPr>
          <w:szCs w:val="21"/>
        </w:rPr>
        <w:t>3</w:t>
      </w:r>
      <w:r>
        <w:rPr>
          <w:rFonts w:hint="eastAsia"/>
          <w:szCs w:val="21"/>
        </w:rPr>
        <w:t xml:space="preserve">. </w:t>
      </w:r>
      <w:r>
        <w:rPr>
          <w:szCs w:val="21"/>
        </w:rPr>
        <w:t>如各医院在检查方法、试剂等方面存在不同，可按实际发生情况收费，但检查项目必须统一。</w:t>
      </w:r>
    </w:p>
    <w:p>
      <w:pPr>
        <w:adjustRightInd w:val="0"/>
        <w:snapToGrid w:val="0"/>
        <w:spacing w:line="500" w:lineRule="exact"/>
        <w:ind w:firstLine="420"/>
        <w:rPr>
          <w:szCs w:val="21"/>
        </w:rPr>
      </w:pPr>
      <w:r>
        <w:rPr>
          <w:szCs w:val="21"/>
        </w:rPr>
        <w:t>4</w:t>
      </w:r>
      <w:r>
        <w:rPr>
          <w:rFonts w:hint="eastAsia"/>
          <w:szCs w:val="21"/>
        </w:rPr>
        <w:t xml:space="preserve">. </w:t>
      </w:r>
      <w:r>
        <w:rPr>
          <w:szCs w:val="21"/>
        </w:rPr>
        <w:t>血常规（全血细胞分析）、尿常规及尿沉渣及空腹血糖（</w:t>
      </w:r>
      <w:r>
        <w:rPr>
          <w:bCs/>
          <w:szCs w:val="21"/>
        </w:rPr>
        <w:t>FPG</w:t>
      </w:r>
      <w:r>
        <w:rPr>
          <w:szCs w:val="21"/>
        </w:rPr>
        <w:t>）的参考值范围应全国统一，特别是血常规（全血细胞分析）、尿常规及尿沉渣的参考值范围应执行卫计委下发的有关文件，其他检验项目的参考值范围因使用的试剂不同、检测方法等不同，各医疗机构可执行自己的参考值范围。</w:t>
      </w:r>
    </w:p>
    <w:p>
      <w:pPr>
        <w:adjustRightInd w:val="0"/>
        <w:snapToGrid w:val="0"/>
        <w:spacing w:line="500" w:lineRule="exact"/>
        <w:rPr>
          <w:szCs w:val="21"/>
        </w:rPr>
      </w:pPr>
    </w:p>
    <w:p>
      <w:pPr>
        <w:pStyle w:val="2"/>
        <w:adjustRightInd w:val="0"/>
        <w:snapToGrid w:val="0"/>
        <w:spacing w:before="0" w:after="0" w:line="500" w:lineRule="exact"/>
        <w:jc w:val="left"/>
        <w:rPr>
          <w:sz w:val="21"/>
          <w:szCs w:val="21"/>
        </w:rPr>
      </w:pPr>
      <w:bookmarkStart w:id="27" w:name="_Toc391888344"/>
    </w:p>
    <w:p>
      <w:pPr>
        <w:pStyle w:val="2"/>
        <w:adjustRightInd w:val="0"/>
        <w:snapToGrid w:val="0"/>
        <w:spacing w:before="0" w:after="0" w:line="500" w:lineRule="exact"/>
        <w:jc w:val="left"/>
        <w:rPr>
          <w:sz w:val="21"/>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
        <w:adjustRightInd w:val="0"/>
        <w:snapToGrid w:val="0"/>
        <w:spacing w:before="0" w:after="0" w:line="500" w:lineRule="exact"/>
        <w:jc w:val="left"/>
        <w:rPr>
          <w:sz w:val="21"/>
          <w:szCs w:val="21"/>
        </w:rPr>
      </w:pPr>
    </w:p>
    <w:p/>
    <w:p>
      <w:pPr>
        <w:pStyle w:val="2"/>
        <w:adjustRightInd w:val="0"/>
        <w:snapToGrid w:val="0"/>
        <w:spacing w:before="0" w:after="0" w:line="500" w:lineRule="exact"/>
        <w:jc w:val="left"/>
        <w:rPr>
          <w:sz w:val="21"/>
          <w:szCs w:val="21"/>
        </w:rPr>
      </w:pPr>
      <w:r>
        <w:rPr>
          <w:sz w:val="21"/>
          <w:szCs w:val="21"/>
        </w:rPr>
        <w:t>附录B  视力小数记录折算5分记录对照表</w:t>
      </w:r>
      <w:bookmarkEnd w:id="27"/>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735"/>
        <w:gridCol w:w="741"/>
        <w:gridCol w:w="741"/>
        <w:gridCol w:w="636"/>
        <w:gridCol w:w="741"/>
        <w:gridCol w:w="636"/>
        <w:gridCol w:w="636"/>
        <w:gridCol w:w="636"/>
        <w:gridCol w:w="636"/>
        <w:gridCol w:w="636"/>
        <w:gridCol w:w="636"/>
        <w:gridCol w:w="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174" w:type="dxa"/>
            <w:noWrap w:val="0"/>
            <w:vAlign w:val="center"/>
          </w:tcPr>
          <w:p>
            <w:pPr>
              <w:adjustRightInd w:val="0"/>
              <w:snapToGrid w:val="0"/>
              <w:spacing w:line="500" w:lineRule="exact"/>
              <w:jc w:val="center"/>
              <w:rPr>
                <w:szCs w:val="21"/>
              </w:rPr>
            </w:pPr>
            <w:r>
              <w:rPr>
                <w:szCs w:val="21"/>
              </w:rPr>
              <w:t>旧法记录</w:t>
            </w:r>
          </w:p>
          <w:p>
            <w:pPr>
              <w:adjustRightInd w:val="0"/>
              <w:snapToGrid w:val="0"/>
              <w:spacing w:line="500" w:lineRule="exact"/>
              <w:jc w:val="center"/>
              <w:rPr>
                <w:szCs w:val="21"/>
              </w:rPr>
            </w:pPr>
            <w:r>
              <w:rPr>
                <w:szCs w:val="21"/>
              </w:rPr>
              <w:t>5分记录</w:t>
            </w:r>
          </w:p>
        </w:tc>
        <w:tc>
          <w:tcPr>
            <w:tcW w:w="8046" w:type="dxa"/>
            <w:gridSpan w:val="12"/>
            <w:noWrap w:val="0"/>
            <w:vAlign w:val="center"/>
          </w:tcPr>
          <w:p>
            <w:pPr>
              <w:adjustRightInd w:val="0"/>
              <w:snapToGrid w:val="0"/>
              <w:spacing w:line="500" w:lineRule="exact"/>
              <w:ind w:firstLine="630" w:firstLineChars="300"/>
              <w:rPr>
                <w:szCs w:val="21"/>
              </w:rPr>
            </w:pPr>
            <w:r>
              <w:rPr>
                <w:szCs w:val="21"/>
              </w:rPr>
              <w:t>0（无光感）                1/∞（光感）            0.001（手动）</w:t>
            </w:r>
          </w:p>
          <w:p>
            <w:pPr>
              <w:adjustRightInd w:val="0"/>
              <w:snapToGrid w:val="0"/>
              <w:spacing w:line="500" w:lineRule="exact"/>
              <w:ind w:firstLine="1050" w:firstLineChars="500"/>
              <w:rPr>
                <w:szCs w:val="21"/>
              </w:rPr>
            </w:pPr>
            <w:r>
              <w:rPr>
                <w:szCs w:val="21"/>
              </w:rPr>
              <w:t>0                          1                       2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74" w:type="dxa"/>
            <w:noWrap w:val="0"/>
            <w:vAlign w:val="center"/>
          </w:tcPr>
          <w:p>
            <w:pPr>
              <w:adjustRightInd w:val="0"/>
              <w:snapToGrid w:val="0"/>
              <w:spacing w:line="500" w:lineRule="exact"/>
              <w:jc w:val="center"/>
              <w:rPr>
                <w:szCs w:val="21"/>
              </w:rPr>
            </w:pPr>
            <w:r>
              <w:rPr>
                <w:szCs w:val="21"/>
              </w:rPr>
              <w:t>旧法记录</w:t>
            </w:r>
          </w:p>
          <w:p>
            <w:pPr>
              <w:adjustRightInd w:val="0"/>
              <w:snapToGrid w:val="0"/>
              <w:spacing w:line="500" w:lineRule="exact"/>
              <w:jc w:val="center"/>
              <w:rPr>
                <w:szCs w:val="21"/>
              </w:rPr>
            </w:pPr>
            <w:r>
              <w:rPr>
                <w:szCs w:val="21"/>
              </w:rPr>
              <w:t>(手指/</w:t>
            </w:r>
            <w:r>
              <w:rPr>
                <w:rFonts w:hint="eastAsia"/>
                <w:szCs w:val="21"/>
              </w:rPr>
              <w:t>厘米</w:t>
            </w:r>
            <w:r>
              <w:rPr>
                <w:szCs w:val="21"/>
              </w:rPr>
              <w:t>)</w:t>
            </w:r>
          </w:p>
          <w:p>
            <w:pPr>
              <w:adjustRightInd w:val="0"/>
              <w:snapToGrid w:val="0"/>
              <w:spacing w:line="500" w:lineRule="exact"/>
              <w:jc w:val="center"/>
              <w:rPr>
                <w:szCs w:val="21"/>
              </w:rPr>
            </w:pPr>
            <w:r>
              <w:rPr>
                <w:szCs w:val="21"/>
              </w:rPr>
              <w:t>5分记录</w:t>
            </w:r>
          </w:p>
        </w:tc>
        <w:tc>
          <w:tcPr>
            <w:tcW w:w="735" w:type="dxa"/>
            <w:noWrap w:val="0"/>
            <w:vAlign w:val="center"/>
          </w:tcPr>
          <w:p>
            <w:pPr>
              <w:adjustRightInd w:val="0"/>
              <w:snapToGrid w:val="0"/>
              <w:spacing w:line="500" w:lineRule="exact"/>
              <w:rPr>
                <w:szCs w:val="21"/>
              </w:rPr>
            </w:pPr>
            <w:r>
              <w:rPr>
                <w:szCs w:val="21"/>
              </w:rPr>
              <w:t xml:space="preserve">6 </w:t>
            </w:r>
            <w:r>
              <w:rPr>
                <w:rFonts w:hint="eastAsia"/>
                <w:szCs w:val="21"/>
              </w:rPr>
              <w:t>cm</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2.1</w:t>
            </w:r>
          </w:p>
        </w:tc>
        <w:tc>
          <w:tcPr>
            <w:tcW w:w="741" w:type="dxa"/>
            <w:noWrap w:val="0"/>
            <w:vAlign w:val="center"/>
          </w:tcPr>
          <w:p>
            <w:pPr>
              <w:adjustRightInd w:val="0"/>
              <w:snapToGrid w:val="0"/>
              <w:spacing w:line="500" w:lineRule="exact"/>
              <w:jc w:val="center"/>
              <w:rPr>
                <w:szCs w:val="21"/>
              </w:rPr>
            </w:pPr>
            <w:r>
              <w:rPr>
                <w:szCs w:val="21"/>
              </w:rPr>
              <w:t>8</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2.2</w:t>
            </w:r>
          </w:p>
        </w:tc>
        <w:tc>
          <w:tcPr>
            <w:tcW w:w="741" w:type="dxa"/>
            <w:noWrap w:val="0"/>
            <w:vAlign w:val="center"/>
          </w:tcPr>
          <w:p>
            <w:pPr>
              <w:adjustRightInd w:val="0"/>
              <w:snapToGrid w:val="0"/>
              <w:spacing w:line="500" w:lineRule="exact"/>
              <w:jc w:val="center"/>
              <w:rPr>
                <w:szCs w:val="21"/>
              </w:rPr>
            </w:pPr>
            <w:r>
              <w:rPr>
                <w:szCs w:val="21"/>
              </w:rPr>
              <w:t>10</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2.3</w:t>
            </w:r>
          </w:p>
        </w:tc>
        <w:tc>
          <w:tcPr>
            <w:tcW w:w="636" w:type="dxa"/>
            <w:noWrap w:val="0"/>
            <w:vAlign w:val="center"/>
          </w:tcPr>
          <w:p>
            <w:pPr>
              <w:adjustRightInd w:val="0"/>
              <w:snapToGrid w:val="0"/>
              <w:spacing w:line="500" w:lineRule="exact"/>
              <w:jc w:val="center"/>
              <w:rPr>
                <w:szCs w:val="21"/>
              </w:rPr>
            </w:pPr>
            <w:r>
              <w:rPr>
                <w:szCs w:val="21"/>
              </w:rPr>
              <w:t>12</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2.4</w:t>
            </w:r>
          </w:p>
        </w:tc>
        <w:tc>
          <w:tcPr>
            <w:tcW w:w="741" w:type="dxa"/>
            <w:noWrap w:val="0"/>
            <w:vAlign w:val="center"/>
          </w:tcPr>
          <w:p>
            <w:pPr>
              <w:adjustRightInd w:val="0"/>
              <w:snapToGrid w:val="0"/>
              <w:spacing w:line="500" w:lineRule="exact"/>
              <w:jc w:val="center"/>
              <w:rPr>
                <w:szCs w:val="21"/>
              </w:rPr>
            </w:pPr>
            <w:r>
              <w:rPr>
                <w:szCs w:val="21"/>
              </w:rPr>
              <w:t>15</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2.5</w:t>
            </w:r>
          </w:p>
        </w:tc>
        <w:tc>
          <w:tcPr>
            <w:tcW w:w="636" w:type="dxa"/>
            <w:noWrap w:val="0"/>
            <w:vAlign w:val="center"/>
          </w:tcPr>
          <w:p>
            <w:pPr>
              <w:adjustRightInd w:val="0"/>
              <w:snapToGrid w:val="0"/>
              <w:spacing w:line="500" w:lineRule="exact"/>
              <w:jc w:val="center"/>
              <w:rPr>
                <w:szCs w:val="21"/>
              </w:rPr>
            </w:pPr>
            <w:r>
              <w:rPr>
                <w:szCs w:val="21"/>
              </w:rPr>
              <w:t>20</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2.6</w:t>
            </w:r>
          </w:p>
        </w:tc>
        <w:tc>
          <w:tcPr>
            <w:tcW w:w="636" w:type="dxa"/>
            <w:noWrap w:val="0"/>
            <w:vAlign w:val="center"/>
          </w:tcPr>
          <w:p>
            <w:pPr>
              <w:adjustRightInd w:val="0"/>
              <w:snapToGrid w:val="0"/>
              <w:spacing w:line="500" w:lineRule="exact"/>
              <w:jc w:val="center"/>
              <w:rPr>
                <w:szCs w:val="21"/>
              </w:rPr>
            </w:pPr>
            <w:r>
              <w:rPr>
                <w:szCs w:val="21"/>
              </w:rPr>
              <w:t>25</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2.7</w:t>
            </w:r>
          </w:p>
        </w:tc>
        <w:tc>
          <w:tcPr>
            <w:tcW w:w="636" w:type="dxa"/>
            <w:noWrap w:val="0"/>
            <w:vAlign w:val="center"/>
          </w:tcPr>
          <w:p>
            <w:pPr>
              <w:adjustRightInd w:val="0"/>
              <w:snapToGrid w:val="0"/>
              <w:spacing w:line="500" w:lineRule="exact"/>
              <w:jc w:val="center"/>
              <w:rPr>
                <w:szCs w:val="21"/>
              </w:rPr>
            </w:pPr>
            <w:r>
              <w:rPr>
                <w:szCs w:val="21"/>
              </w:rPr>
              <w:t>30</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2.8</w:t>
            </w:r>
          </w:p>
        </w:tc>
        <w:tc>
          <w:tcPr>
            <w:tcW w:w="636" w:type="dxa"/>
            <w:noWrap w:val="0"/>
            <w:vAlign w:val="center"/>
          </w:tcPr>
          <w:p>
            <w:pPr>
              <w:adjustRightInd w:val="0"/>
              <w:snapToGrid w:val="0"/>
              <w:spacing w:line="500" w:lineRule="exact"/>
              <w:jc w:val="center"/>
              <w:rPr>
                <w:szCs w:val="21"/>
              </w:rPr>
            </w:pPr>
            <w:r>
              <w:rPr>
                <w:szCs w:val="21"/>
              </w:rPr>
              <w:t>35</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2.85</w:t>
            </w:r>
          </w:p>
        </w:tc>
        <w:tc>
          <w:tcPr>
            <w:tcW w:w="636" w:type="dxa"/>
            <w:noWrap w:val="0"/>
            <w:vAlign w:val="center"/>
          </w:tcPr>
          <w:p>
            <w:pPr>
              <w:adjustRightInd w:val="0"/>
              <w:snapToGrid w:val="0"/>
              <w:spacing w:line="500" w:lineRule="exact"/>
              <w:jc w:val="center"/>
              <w:rPr>
                <w:szCs w:val="21"/>
              </w:rPr>
            </w:pPr>
            <w:r>
              <w:rPr>
                <w:szCs w:val="21"/>
              </w:rPr>
              <w:t>40</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2.9</w:t>
            </w:r>
          </w:p>
        </w:tc>
        <w:tc>
          <w:tcPr>
            <w:tcW w:w="636" w:type="dxa"/>
            <w:noWrap w:val="0"/>
            <w:vAlign w:val="center"/>
          </w:tcPr>
          <w:p>
            <w:pPr>
              <w:adjustRightInd w:val="0"/>
              <w:snapToGrid w:val="0"/>
              <w:spacing w:line="500" w:lineRule="exact"/>
              <w:jc w:val="center"/>
              <w:rPr>
                <w:szCs w:val="21"/>
              </w:rPr>
            </w:pPr>
            <w:r>
              <w:rPr>
                <w:szCs w:val="21"/>
              </w:rPr>
              <w:t>45</w:t>
            </w:r>
          </w:p>
          <w:p>
            <w:pPr>
              <w:adjustRightInd w:val="0"/>
              <w:snapToGrid w:val="0"/>
              <w:spacing w:line="500" w:lineRule="exact"/>
              <w:jc w:val="center"/>
              <w:rPr>
                <w:szCs w:val="21"/>
              </w:rPr>
            </w:pPr>
          </w:p>
          <w:p>
            <w:pPr>
              <w:adjustRightInd w:val="0"/>
              <w:snapToGrid w:val="0"/>
              <w:spacing w:line="500" w:lineRule="exact"/>
              <w:jc w:val="center"/>
              <w:rPr>
                <w:szCs w:val="21"/>
              </w:rPr>
            </w:pPr>
            <w:r>
              <w:rPr>
                <w:szCs w:val="21"/>
              </w:rPr>
              <w:t>2.95</w:t>
            </w:r>
          </w:p>
        </w:tc>
        <w:tc>
          <w:tcPr>
            <w:tcW w:w="636" w:type="dxa"/>
            <w:noWrap w:val="0"/>
            <w:vAlign w:val="top"/>
          </w:tcPr>
          <w:p>
            <w:pPr>
              <w:adjustRightInd w:val="0"/>
              <w:snapToGrid w:val="0"/>
              <w:spacing w:line="50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174" w:type="dxa"/>
            <w:noWrap w:val="0"/>
            <w:vAlign w:val="center"/>
          </w:tcPr>
          <w:p>
            <w:pPr>
              <w:adjustRightInd w:val="0"/>
              <w:snapToGrid w:val="0"/>
              <w:spacing w:line="500" w:lineRule="exact"/>
              <w:jc w:val="center"/>
              <w:rPr>
                <w:szCs w:val="21"/>
              </w:rPr>
            </w:pPr>
            <w:r>
              <w:rPr>
                <w:szCs w:val="21"/>
              </w:rPr>
              <w:t>走近距离</w:t>
            </w:r>
          </w:p>
          <w:p>
            <w:pPr>
              <w:adjustRightInd w:val="0"/>
              <w:snapToGrid w:val="0"/>
              <w:spacing w:line="500" w:lineRule="exact"/>
              <w:jc w:val="center"/>
              <w:rPr>
                <w:szCs w:val="21"/>
              </w:rPr>
            </w:pPr>
            <w:r>
              <w:rPr>
                <w:szCs w:val="21"/>
              </w:rPr>
              <w:t>小数记录</w:t>
            </w:r>
          </w:p>
          <w:p>
            <w:pPr>
              <w:adjustRightInd w:val="0"/>
              <w:snapToGrid w:val="0"/>
              <w:spacing w:line="500" w:lineRule="exact"/>
              <w:jc w:val="center"/>
              <w:rPr>
                <w:szCs w:val="21"/>
              </w:rPr>
            </w:pPr>
            <w:r>
              <w:rPr>
                <w:szCs w:val="21"/>
              </w:rPr>
              <w:t>5分记录</w:t>
            </w:r>
          </w:p>
        </w:tc>
        <w:tc>
          <w:tcPr>
            <w:tcW w:w="735" w:type="dxa"/>
            <w:noWrap w:val="0"/>
            <w:vAlign w:val="center"/>
          </w:tcPr>
          <w:p>
            <w:pPr>
              <w:adjustRightInd w:val="0"/>
              <w:snapToGrid w:val="0"/>
              <w:spacing w:line="500" w:lineRule="exact"/>
              <w:jc w:val="center"/>
              <w:rPr>
                <w:szCs w:val="21"/>
              </w:rPr>
            </w:pPr>
            <w:r>
              <w:rPr>
                <w:szCs w:val="21"/>
              </w:rPr>
              <w:t>50</w:t>
            </w:r>
            <w:r>
              <w:rPr>
                <w:rFonts w:hint="eastAsia"/>
                <w:szCs w:val="21"/>
              </w:rPr>
              <w:t>cm</w:t>
            </w:r>
          </w:p>
          <w:p>
            <w:pPr>
              <w:adjustRightInd w:val="0"/>
              <w:snapToGrid w:val="0"/>
              <w:spacing w:line="500" w:lineRule="exact"/>
              <w:jc w:val="center"/>
              <w:rPr>
                <w:szCs w:val="21"/>
              </w:rPr>
            </w:pPr>
            <w:r>
              <w:rPr>
                <w:szCs w:val="21"/>
              </w:rPr>
              <w:t>0.01</w:t>
            </w:r>
          </w:p>
          <w:p>
            <w:pPr>
              <w:adjustRightInd w:val="0"/>
              <w:snapToGrid w:val="0"/>
              <w:spacing w:line="500" w:lineRule="exact"/>
              <w:jc w:val="center"/>
              <w:rPr>
                <w:szCs w:val="21"/>
              </w:rPr>
            </w:pPr>
            <w:r>
              <w:rPr>
                <w:szCs w:val="21"/>
              </w:rPr>
              <w:t>3.0</w:t>
            </w:r>
          </w:p>
        </w:tc>
        <w:tc>
          <w:tcPr>
            <w:tcW w:w="741" w:type="dxa"/>
            <w:noWrap w:val="0"/>
            <w:vAlign w:val="center"/>
          </w:tcPr>
          <w:p>
            <w:pPr>
              <w:adjustRightInd w:val="0"/>
              <w:snapToGrid w:val="0"/>
              <w:spacing w:line="500" w:lineRule="exact"/>
              <w:jc w:val="center"/>
              <w:rPr>
                <w:szCs w:val="21"/>
              </w:rPr>
            </w:pPr>
            <w:r>
              <w:rPr>
                <w:szCs w:val="21"/>
              </w:rPr>
              <w:t>60</w:t>
            </w:r>
          </w:p>
          <w:p>
            <w:pPr>
              <w:adjustRightInd w:val="0"/>
              <w:snapToGrid w:val="0"/>
              <w:spacing w:line="500" w:lineRule="exact"/>
              <w:jc w:val="center"/>
              <w:rPr>
                <w:szCs w:val="21"/>
              </w:rPr>
            </w:pPr>
            <w:r>
              <w:rPr>
                <w:szCs w:val="21"/>
              </w:rPr>
              <w:t>0.012</w:t>
            </w:r>
          </w:p>
          <w:p>
            <w:pPr>
              <w:adjustRightInd w:val="0"/>
              <w:snapToGrid w:val="0"/>
              <w:spacing w:line="500" w:lineRule="exact"/>
              <w:jc w:val="center"/>
              <w:rPr>
                <w:szCs w:val="21"/>
              </w:rPr>
            </w:pPr>
            <w:r>
              <w:rPr>
                <w:szCs w:val="21"/>
              </w:rPr>
              <w:t>3.1</w:t>
            </w:r>
          </w:p>
        </w:tc>
        <w:tc>
          <w:tcPr>
            <w:tcW w:w="741" w:type="dxa"/>
            <w:noWrap w:val="0"/>
            <w:vAlign w:val="center"/>
          </w:tcPr>
          <w:p>
            <w:pPr>
              <w:adjustRightInd w:val="0"/>
              <w:snapToGrid w:val="0"/>
              <w:spacing w:line="500" w:lineRule="exact"/>
              <w:jc w:val="center"/>
              <w:rPr>
                <w:szCs w:val="21"/>
              </w:rPr>
            </w:pPr>
            <w:r>
              <w:rPr>
                <w:szCs w:val="21"/>
              </w:rPr>
              <w:t>80</w:t>
            </w:r>
          </w:p>
          <w:p>
            <w:pPr>
              <w:adjustRightInd w:val="0"/>
              <w:snapToGrid w:val="0"/>
              <w:spacing w:line="500" w:lineRule="exact"/>
              <w:jc w:val="center"/>
              <w:rPr>
                <w:szCs w:val="21"/>
              </w:rPr>
            </w:pPr>
            <w:r>
              <w:rPr>
                <w:szCs w:val="21"/>
              </w:rPr>
              <w:t>0.015</w:t>
            </w:r>
          </w:p>
          <w:p>
            <w:pPr>
              <w:adjustRightInd w:val="0"/>
              <w:snapToGrid w:val="0"/>
              <w:spacing w:line="500" w:lineRule="exact"/>
              <w:jc w:val="center"/>
              <w:rPr>
                <w:szCs w:val="21"/>
              </w:rPr>
            </w:pPr>
            <w:r>
              <w:rPr>
                <w:szCs w:val="21"/>
              </w:rPr>
              <w:t>3.2</w:t>
            </w:r>
          </w:p>
        </w:tc>
        <w:tc>
          <w:tcPr>
            <w:tcW w:w="636" w:type="dxa"/>
            <w:noWrap w:val="0"/>
            <w:vAlign w:val="center"/>
          </w:tcPr>
          <w:p>
            <w:pPr>
              <w:adjustRightInd w:val="0"/>
              <w:snapToGrid w:val="0"/>
              <w:spacing w:line="500" w:lineRule="exact"/>
              <w:jc w:val="center"/>
              <w:rPr>
                <w:szCs w:val="21"/>
              </w:rPr>
            </w:pPr>
            <w:r>
              <w:rPr>
                <w:szCs w:val="21"/>
              </w:rPr>
              <w:t xml:space="preserve">1 </w:t>
            </w:r>
            <w:r>
              <w:rPr>
                <w:rFonts w:hint="eastAsia"/>
                <w:szCs w:val="21"/>
              </w:rPr>
              <w:t>m</w:t>
            </w:r>
          </w:p>
          <w:p>
            <w:pPr>
              <w:adjustRightInd w:val="0"/>
              <w:snapToGrid w:val="0"/>
              <w:spacing w:line="500" w:lineRule="exact"/>
              <w:jc w:val="center"/>
              <w:rPr>
                <w:szCs w:val="21"/>
              </w:rPr>
            </w:pPr>
            <w:r>
              <w:rPr>
                <w:szCs w:val="21"/>
              </w:rPr>
              <w:t>0.02</w:t>
            </w:r>
          </w:p>
          <w:p>
            <w:pPr>
              <w:adjustRightInd w:val="0"/>
              <w:snapToGrid w:val="0"/>
              <w:spacing w:line="500" w:lineRule="exact"/>
              <w:jc w:val="center"/>
              <w:rPr>
                <w:szCs w:val="21"/>
              </w:rPr>
            </w:pPr>
            <w:r>
              <w:rPr>
                <w:szCs w:val="21"/>
              </w:rPr>
              <w:t>3.3</w:t>
            </w:r>
          </w:p>
        </w:tc>
        <w:tc>
          <w:tcPr>
            <w:tcW w:w="741" w:type="dxa"/>
            <w:noWrap w:val="0"/>
            <w:vAlign w:val="center"/>
          </w:tcPr>
          <w:p>
            <w:pPr>
              <w:adjustRightInd w:val="0"/>
              <w:snapToGrid w:val="0"/>
              <w:spacing w:line="500" w:lineRule="exact"/>
              <w:jc w:val="center"/>
              <w:rPr>
                <w:szCs w:val="21"/>
              </w:rPr>
            </w:pPr>
            <w:r>
              <w:rPr>
                <w:szCs w:val="21"/>
              </w:rPr>
              <w:t>1.2</w:t>
            </w:r>
          </w:p>
          <w:p>
            <w:pPr>
              <w:adjustRightInd w:val="0"/>
              <w:snapToGrid w:val="0"/>
              <w:spacing w:line="500" w:lineRule="exact"/>
              <w:jc w:val="center"/>
              <w:rPr>
                <w:szCs w:val="21"/>
              </w:rPr>
            </w:pPr>
            <w:r>
              <w:rPr>
                <w:szCs w:val="21"/>
              </w:rPr>
              <w:t>0.025</w:t>
            </w:r>
          </w:p>
          <w:p>
            <w:pPr>
              <w:adjustRightInd w:val="0"/>
              <w:snapToGrid w:val="0"/>
              <w:spacing w:line="500" w:lineRule="exact"/>
              <w:jc w:val="center"/>
              <w:rPr>
                <w:szCs w:val="21"/>
              </w:rPr>
            </w:pPr>
            <w:r>
              <w:rPr>
                <w:szCs w:val="21"/>
              </w:rPr>
              <w:t>3.4</w:t>
            </w:r>
          </w:p>
        </w:tc>
        <w:tc>
          <w:tcPr>
            <w:tcW w:w="636" w:type="dxa"/>
            <w:noWrap w:val="0"/>
            <w:vAlign w:val="center"/>
          </w:tcPr>
          <w:p>
            <w:pPr>
              <w:adjustRightInd w:val="0"/>
              <w:snapToGrid w:val="0"/>
              <w:spacing w:line="500" w:lineRule="exact"/>
              <w:jc w:val="center"/>
              <w:rPr>
                <w:szCs w:val="21"/>
              </w:rPr>
            </w:pPr>
            <w:r>
              <w:rPr>
                <w:szCs w:val="21"/>
              </w:rPr>
              <w:t>1.5</w:t>
            </w:r>
          </w:p>
          <w:p>
            <w:pPr>
              <w:adjustRightInd w:val="0"/>
              <w:snapToGrid w:val="0"/>
              <w:spacing w:line="500" w:lineRule="exact"/>
              <w:jc w:val="center"/>
              <w:rPr>
                <w:szCs w:val="21"/>
              </w:rPr>
            </w:pPr>
            <w:r>
              <w:rPr>
                <w:szCs w:val="21"/>
              </w:rPr>
              <w:t>0.03</w:t>
            </w:r>
          </w:p>
          <w:p>
            <w:pPr>
              <w:adjustRightInd w:val="0"/>
              <w:snapToGrid w:val="0"/>
              <w:spacing w:line="500" w:lineRule="exact"/>
              <w:jc w:val="center"/>
              <w:rPr>
                <w:szCs w:val="21"/>
              </w:rPr>
            </w:pPr>
            <w:r>
              <w:rPr>
                <w:szCs w:val="21"/>
              </w:rPr>
              <w:t>3.5</w:t>
            </w:r>
          </w:p>
        </w:tc>
        <w:tc>
          <w:tcPr>
            <w:tcW w:w="636" w:type="dxa"/>
            <w:noWrap w:val="0"/>
            <w:vAlign w:val="center"/>
          </w:tcPr>
          <w:p>
            <w:pPr>
              <w:adjustRightInd w:val="0"/>
              <w:snapToGrid w:val="0"/>
              <w:spacing w:line="500" w:lineRule="exact"/>
              <w:jc w:val="center"/>
              <w:rPr>
                <w:szCs w:val="21"/>
              </w:rPr>
            </w:pPr>
            <w:r>
              <w:rPr>
                <w:szCs w:val="21"/>
              </w:rPr>
              <w:t>2</w:t>
            </w:r>
          </w:p>
          <w:p>
            <w:pPr>
              <w:adjustRightInd w:val="0"/>
              <w:snapToGrid w:val="0"/>
              <w:spacing w:line="500" w:lineRule="exact"/>
              <w:jc w:val="center"/>
              <w:rPr>
                <w:szCs w:val="21"/>
              </w:rPr>
            </w:pPr>
            <w:r>
              <w:rPr>
                <w:szCs w:val="21"/>
              </w:rPr>
              <w:t>0.04</w:t>
            </w:r>
          </w:p>
          <w:p>
            <w:pPr>
              <w:adjustRightInd w:val="0"/>
              <w:snapToGrid w:val="0"/>
              <w:spacing w:line="500" w:lineRule="exact"/>
              <w:jc w:val="center"/>
              <w:rPr>
                <w:szCs w:val="21"/>
              </w:rPr>
            </w:pPr>
            <w:r>
              <w:rPr>
                <w:szCs w:val="21"/>
              </w:rPr>
              <w:t>3.6</w:t>
            </w:r>
          </w:p>
        </w:tc>
        <w:tc>
          <w:tcPr>
            <w:tcW w:w="636" w:type="dxa"/>
            <w:noWrap w:val="0"/>
            <w:vAlign w:val="center"/>
          </w:tcPr>
          <w:p>
            <w:pPr>
              <w:adjustRightInd w:val="0"/>
              <w:snapToGrid w:val="0"/>
              <w:spacing w:line="500" w:lineRule="exact"/>
              <w:jc w:val="center"/>
              <w:rPr>
                <w:szCs w:val="21"/>
              </w:rPr>
            </w:pPr>
            <w:r>
              <w:rPr>
                <w:szCs w:val="21"/>
              </w:rPr>
              <w:t>2.5</w:t>
            </w:r>
          </w:p>
          <w:p>
            <w:pPr>
              <w:adjustRightInd w:val="0"/>
              <w:snapToGrid w:val="0"/>
              <w:spacing w:line="500" w:lineRule="exact"/>
              <w:jc w:val="center"/>
              <w:rPr>
                <w:szCs w:val="21"/>
              </w:rPr>
            </w:pPr>
            <w:r>
              <w:rPr>
                <w:szCs w:val="21"/>
              </w:rPr>
              <w:t>0.05</w:t>
            </w:r>
          </w:p>
          <w:p>
            <w:pPr>
              <w:adjustRightInd w:val="0"/>
              <w:snapToGrid w:val="0"/>
              <w:spacing w:line="500" w:lineRule="exact"/>
              <w:jc w:val="center"/>
              <w:rPr>
                <w:szCs w:val="21"/>
              </w:rPr>
            </w:pPr>
            <w:r>
              <w:rPr>
                <w:szCs w:val="21"/>
              </w:rPr>
              <w:t>3.7</w:t>
            </w:r>
          </w:p>
        </w:tc>
        <w:tc>
          <w:tcPr>
            <w:tcW w:w="636" w:type="dxa"/>
            <w:noWrap w:val="0"/>
            <w:vAlign w:val="center"/>
          </w:tcPr>
          <w:p>
            <w:pPr>
              <w:adjustRightInd w:val="0"/>
              <w:snapToGrid w:val="0"/>
              <w:spacing w:line="500" w:lineRule="exact"/>
              <w:jc w:val="center"/>
              <w:rPr>
                <w:szCs w:val="21"/>
              </w:rPr>
            </w:pPr>
            <w:r>
              <w:rPr>
                <w:szCs w:val="21"/>
              </w:rPr>
              <w:t>3</w:t>
            </w:r>
          </w:p>
          <w:p>
            <w:pPr>
              <w:adjustRightInd w:val="0"/>
              <w:snapToGrid w:val="0"/>
              <w:spacing w:line="500" w:lineRule="exact"/>
              <w:jc w:val="center"/>
              <w:rPr>
                <w:szCs w:val="21"/>
              </w:rPr>
            </w:pPr>
            <w:r>
              <w:rPr>
                <w:szCs w:val="21"/>
              </w:rPr>
              <w:t>0.06</w:t>
            </w:r>
          </w:p>
          <w:p>
            <w:pPr>
              <w:adjustRightInd w:val="0"/>
              <w:snapToGrid w:val="0"/>
              <w:spacing w:line="500" w:lineRule="exact"/>
              <w:jc w:val="center"/>
              <w:rPr>
                <w:szCs w:val="21"/>
              </w:rPr>
            </w:pPr>
            <w:r>
              <w:rPr>
                <w:szCs w:val="21"/>
              </w:rPr>
              <w:t>3.8</w:t>
            </w:r>
          </w:p>
        </w:tc>
        <w:tc>
          <w:tcPr>
            <w:tcW w:w="636" w:type="dxa"/>
            <w:noWrap w:val="0"/>
            <w:vAlign w:val="center"/>
          </w:tcPr>
          <w:p>
            <w:pPr>
              <w:adjustRightInd w:val="0"/>
              <w:snapToGrid w:val="0"/>
              <w:spacing w:line="500" w:lineRule="exact"/>
              <w:jc w:val="center"/>
              <w:rPr>
                <w:szCs w:val="21"/>
              </w:rPr>
            </w:pPr>
            <w:r>
              <w:rPr>
                <w:szCs w:val="21"/>
              </w:rPr>
              <w:t>3.5</w:t>
            </w:r>
          </w:p>
          <w:p>
            <w:pPr>
              <w:adjustRightInd w:val="0"/>
              <w:snapToGrid w:val="0"/>
              <w:spacing w:line="500" w:lineRule="exact"/>
              <w:jc w:val="center"/>
              <w:rPr>
                <w:szCs w:val="21"/>
              </w:rPr>
            </w:pPr>
            <w:r>
              <w:rPr>
                <w:szCs w:val="21"/>
              </w:rPr>
              <w:t>0.07</w:t>
            </w:r>
          </w:p>
          <w:p>
            <w:pPr>
              <w:adjustRightInd w:val="0"/>
              <w:snapToGrid w:val="0"/>
              <w:spacing w:line="500" w:lineRule="exact"/>
              <w:jc w:val="center"/>
              <w:rPr>
                <w:szCs w:val="21"/>
              </w:rPr>
            </w:pPr>
            <w:r>
              <w:rPr>
                <w:szCs w:val="21"/>
              </w:rPr>
              <w:t>3.85</w:t>
            </w:r>
          </w:p>
        </w:tc>
        <w:tc>
          <w:tcPr>
            <w:tcW w:w="636" w:type="dxa"/>
            <w:noWrap w:val="0"/>
            <w:vAlign w:val="center"/>
          </w:tcPr>
          <w:p>
            <w:pPr>
              <w:adjustRightInd w:val="0"/>
              <w:snapToGrid w:val="0"/>
              <w:spacing w:line="500" w:lineRule="exact"/>
              <w:jc w:val="center"/>
              <w:rPr>
                <w:szCs w:val="21"/>
              </w:rPr>
            </w:pPr>
            <w:r>
              <w:rPr>
                <w:szCs w:val="21"/>
              </w:rPr>
              <w:t>4</w:t>
            </w:r>
          </w:p>
          <w:p>
            <w:pPr>
              <w:adjustRightInd w:val="0"/>
              <w:snapToGrid w:val="0"/>
              <w:spacing w:line="500" w:lineRule="exact"/>
              <w:jc w:val="center"/>
              <w:rPr>
                <w:szCs w:val="21"/>
              </w:rPr>
            </w:pPr>
            <w:r>
              <w:rPr>
                <w:szCs w:val="21"/>
              </w:rPr>
              <w:t>0.08</w:t>
            </w:r>
          </w:p>
          <w:p>
            <w:pPr>
              <w:adjustRightInd w:val="0"/>
              <w:snapToGrid w:val="0"/>
              <w:spacing w:line="500" w:lineRule="exact"/>
              <w:jc w:val="center"/>
              <w:rPr>
                <w:szCs w:val="21"/>
              </w:rPr>
            </w:pPr>
            <w:r>
              <w:rPr>
                <w:szCs w:val="21"/>
              </w:rPr>
              <w:t>3.9</w:t>
            </w:r>
          </w:p>
        </w:tc>
        <w:tc>
          <w:tcPr>
            <w:tcW w:w="636" w:type="dxa"/>
            <w:noWrap w:val="0"/>
            <w:vAlign w:val="center"/>
          </w:tcPr>
          <w:p>
            <w:pPr>
              <w:adjustRightInd w:val="0"/>
              <w:snapToGrid w:val="0"/>
              <w:spacing w:line="500" w:lineRule="exact"/>
              <w:jc w:val="center"/>
              <w:rPr>
                <w:szCs w:val="21"/>
              </w:rPr>
            </w:pPr>
            <w:r>
              <w:rPr>
                <w:szCs w:val="21"/>
              </w:rPr>
              <w:t>4.5</w:t>
            </w:r>
          </w:p>
          <w:p>
            <w:pPr>
              <w:adjustRightInd w:val="0"/>
              <w:snapToGrid w:val="0"/>
              <w:spacing w:line="500" w:lineRule="exact"/>
              <w:jc w:val="center"/>
              <w:rPr>
                <w:szCs w:val="21"/>
              </w:rPr>
            </w:pPr>
            <w:r>
              <w:rPr>
                <w:szCs w:val="21"/>
              </w:rPr>
              <w:t>0.09</w:t>
            </w:r>
          </w:p>
          <w:p>
            <w:pPr>
              <w:adjustRightInd w:val="0"/>
              <w:snapToGrid w:val="0"/>
              <w:spacing w:line="500" w:lineRule="exact"/>
              <w:jc w:val="center"/>
              <w:rPr>
                <w:szCs w:val="21"/>
              </w:rPr>
            </w:pPr>
            <w:r>
              <w:rPr>
                <w:szCs w:val="21"/>
              </w:rPr>
              <w:t>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74" w:type="dxa"/>
            <w:noWrap w:val="0"/>
            <w:vAlign w:val="center"/>
          </w:tcPr>
          <w:p>
            <w:pPr>
              <w:adjustRightInd w:val="0"/>
              <w:snapToGrid w:val="0"/>
              <w:spacing w:line="500" w:lineRule="exact"/>
              <w:jc w:val="center"/>
              <w:rPr>
                <w:szCs w:val="21"/>
              </w:rPr>
            </w:pPr>
            <w:r>
              <w:rPr>
                <w:szCs w:val="21"/>
              </w:rPr>
              <w:t>小数记录</w:t>
            </w:r>
          </w:p>
          <w:p>
            <w:pPr>
              <w:adjustRightInd w:val="0"/>
              <w:snapToGrid w:val="0"/>
              <w:spacing w:line="500" w:lineRule="exact"/>
              <w:jc w:val="center"/>
              <w:rPr>
                <w:szCs w:val="21"/>
              </w:rPr>
            </w:pPr>
            <w:r>
              <w:rPr>
                <w:szCs w:val="21"/>
              </w:rPr>
              <w:t>5分记录</w:t>
            </w:r>
          </w:p>
        </w:tc>
        <w:tc>
          <w:tcPr>
            <w:tcW w:w="735" w:type="dxa"/>
            <w:noWrap w:val="0"/>
            <w:vAlign w:val="center"/>
          </w:tcPr>
          <w:p>
            <w:pPr>
              <w:adjustRightInd w:val="0"/>
              <w:snapToGrid w:val="0"/>
              <w:spacing w:line="500" w:lineRule="exact"/>
              <w:jc w:val="center"/>
              <w:rPr>
                <w:szCs w:val="21"/>
              </w:rPr>
            </w:pPr>
            <w:r>
              <w:rPr>
                <w:szCs w:val="21"/>
              </w:rPr>
              <w:t>0.1</w:t>
            </w:r>
          </w:p>
          <w:p>
            <w:pPr>
              <w:adjustRightInd w:val="0"/>
              <w:snapToGrid w:val="0"/>
              <w:spacing w:line="500" w:lineRule="exact"/>
              <w:jc w:val="center"/>
              <w:rPr>
                <w:szCs w:val="21"/>
              </w:rPr>
            </w:pPr>
            <w:r>
              <w:rPr>
                <w:szCs w:val="21"/>
              </w:rPr>
              <w:t>4.0</w:t>
            </w:r>
          </w:p>
        </w:tc>
        <w:tc>
          <w:tcPr>
            <w:tcW w:w="741" w:type="dxa"/>
            <w:noWrap w:val="0"/>
            <w:vAlign w:val="center"/>
          </w:tcPr>
          <w:p>
            <w:pPr>
              <w:adjustRightInd w:val="0"/>
              <w:snapToGrid w:val="0"/>
              <w:spacing w:line="500" w:lineRule="exact"/>
              <w:jc w:val="center"/>
              <w:rPr>
                <w:szCs w:val="21"/>
              </w:rPr>
            </w:pPr>
            <w:r>
              <w:rPr>
                <w:szCs w:val="21"/>
              </w:rPr>
              <w:t>0.12</w:t>
            </w:r>
          </w:p>
          <w:p>
            <w:pPr>
              <w:adjustRightInd w:val="0"/>
              <w:snapToGrid w:val="0"/>
              <w:spacing w:line="500" w:lineRule="exact"/>
              <w:jc w:val="center"/>
              <w:rPr>
                <w:szCs w:val="21"/>
              </w:rPr>
            </w:pPr>
            <w:r>
              <w:rPr>
                <w:szCs w:val="21"/>
              </w:rPr>
              <w:t>4.1</w:t>
            </w:r>
          </w:p>
        </w:tc>
        <w:tc>
          <w:tcPr>
            <w:tcW w:w="741" w:type="dxa"/>
            <w:noWrap w:val="0"/>
            <w:vAlign w:val="center"/>
          </w:tcPr>
          <w:p>
            <w:pPr>
              <w:adjustRightInd w:val="0"/>
              <w:snapToGrid w:val="0"/>
              <w:spacing w:line="500" w:lineRule="exact"/>
              <w:jc w:val="center"/>
              <w:rPr>
                <w:szCs w:val="21"/>
              </w:rPr>
            </w:pPr>
            <w:r>
              <w:rPr>
                <w:szCs w:val="21"/>
              </w:rPr>
              <w:t>0.15</w:t>
            </w:r>
          </w:p>
          <w:p>
            <w:pPr>
              <w:adjustRightInd w:val="0"/>
              <w:snapToGrid w:val="0"/>
              <w:spacing w:line="500" w:lineRule="exact"/>
              <w:jc w:val="center"/>
              <w:rPr>
                <w:szCs w:val="21"/>
              </w:rPr>
            </w:pPr>
            <w:r>
              <w:rPr>
                <w:szCs w:val="21"/>
              </w:rPr>
              <w:t>4.2</w:t>
            </w:r>
          </w:p>
        </w:tc>
        <w:tc>
          <w:tcPr>
            <w:tcW w:w="636" w:type="dxa"/>
            <w:noWrap w:val="0"/>
            <w:vAlign w:val="center"/>
          </w:tcPr>
          <w:p>
            <w:pPr>
              <w:adjustRightInd w:val="0"/>
              <w:snapToGrid w:val="0"/>
              <w:spacing w:line="500" w:lineRule="exact"/>
              <w:jc w:val="center"/>
              <w:rPr>
                <w:szCs w:val="21"/>
              </w:rPr>
            </w:pPr>
            <w:r>
              <w:rPr>
                <w:szCs w:val="21"/>
              </w:rPr>
              <w:t>0.2</w:t>
            </w:r>
          </w:p>
          <w:p>
            <w:pPr>
              <w:adjustRightInd w:val="0"/>
              <w:snapToGrid w:val="0"/>
              <w:spacing w:line="500" w:lineRule="exact"/>
              <w:jc w:val="center"/>
              <w:rPr>
                <w:szCs w:val="21"/>
              </w:rPr>
            </w:pPr>
            <w:r>
              <w:rPr>
                <w:szCs w:val="21"/>
              </w:rPr>
              <w:t>4.3</w:t>
            </w:r>
          </w:p>
        </w:tc>
        <w:tc>
          <w:tcPr>
            <w:tcW w:w="741" w:type="dxa"/>
            <w:noWrap w:val="0"/>
            <w:vAlign w:val="center"/>
          </w:tcPr>
          <w:p>
            <w:pPr>
              <w:adjustRightInd w:val="0"/>
              <w:snapToGrid w:val="0"/>
              <w:spacing w:line="500" w:lineRule="exact"/>
              <w:jc w:val="center"/>
              <w:rPr>
                <w:szCs w:val="21"/>
              </w:rPr>
            </w:pPr>
            <w:r>
              <w:rPr>
                <w:szCs w:val="21"/>
              </w:rPr>
              <w:t>0.25</w:t>
            </w:r>
          </w:p>
          <w:p>
            <w:pPr>
              <w:adjustRightInd w:val="0"/>
              <w:snapToGrid w:val="0"/>
              <w:spacing w:line="500" w:lineRule="exact"/>
              <w:jc w:val="center"/>
              <w:rPr>
                <w:szCs w:val="21"/>
              </w:rPr>
            </w:pPr>
            <w:r>
              <w:rPr>
                <w:szCs w:val="21"/>
              </w:rPr>
              <w:t>4.4</w:t>
            </w:r>
          </w:p>
        </w:tc>
        <w:tc>
          <w:tcPr>
            <w:tcW w:w="636" w:type="dxa"/>
            <w:noWrap w:val="0"/>
            <w:vAlign w:val="center"/>
          </w:tcPr>
          <w:p>
            <w:pPr>
              <w:adjustRightInd w:val="0"/>
              <w:snapToGrid w:val="0"/>
              <w:spacing w:line="500" w:lineRule="exact"/>
              <w:jc w:val="center"/>
              <w:rPr>
                <w:szCs w:val="21"/>
              </w:rPr>
            </w:pPr>
            <w:r>
              <w:rPr>
                <w:szCs w:val="21"/>
              </w:rPr>
              <w:t>0.3</w:t>
            </w:r>
          </w:p>
          <w:p>
            <w:pPr>
              <w:adjustRightInd w:val="0"/>
              <w:snapToGrid w:val="0"/>
              <w:spacing w:line="500" w:lineRule="exact"/>
              <w:jc w:val="center"/>
              <w:rPr>
                <w:szCs w:val="21"/>
              </w:rPr>
            </w:pPr>
            <w:r>
              <w:rPr>
                <w:szCs w:val="21"/>
              </w:rPr>
              <w:t>4.5</w:t>
            </w:r>
          </w:p>
        </w:tc>
        <w:tc>
          <w:tcPr>
            <w:tcW w:w="636" w:type="dxa"/>
            <w:noWrap w:val="0"/>
            <w:vAlign w:val="center"/>
          </w:tcPr>
          <w:p>
            <w:pPr>
              <w:adjustRightInd w:val="0"/>
              <w:snapToGrid w:val="0"/>
              <w:spacing w:line="500" w:lineRule="exact"/>
              <w:jc w:val="center"/>
              <w:rPr>
                <w:szCs w:val="21"/>
              </w:rPr>
            </w:pPr>
            <w:r>
              <w:rPr>
                <w:szCs w:val="21"/>
              </w:rPr>
              <w:t>0.4</w:t>
            </w:r>
          </w:p>
          <w:p>
            <w:pPr>
              <w:adjustRightInd w:val="0"/>
              <w:snapToGrid w:val="0"/>
              <w:spacing w:line="500" w:lineRule="exact"/>
              <w:jc w:val="center"/>
              <w:rPr>
                <w:szCs w:val="21"/>
              </w:rPr>
            </w:pPr>
            <w:r>
              <w:rPr>
                <w:szCs w:val="21"/>
              </w:rPr>
              <w:t>4.6</w:t>
            </w:r>
          </w:p>
        </w:tc>
        <w:tc>
          <w:tcPr>
            <w:tcW w:w="636" w:type="dxa"/>
            <w:noWrap w:val="0"/>
            <w:vAlign w:val="center"/>
          </w:tcPr>
          <w:p>
            <w:pPr>
              <w:adjustRightInd w:val="0"/>
              <w:snapToGrid w:val="0"/>
              <w:spacing w:line="500" w:lineRule="exact"/>
              <w:jc w:val="center"/>
              <w:rPr>
                <w:szCs w:val="21"/>
              </w:rPr>
            </w:pPr>
            <w:r>
              <w:rPr>
                <w:szCs w:val="21"/>
              </w:rPr>
              <w:t>0.5</w:t>
            </w:r>
          </w:p>
          <w:p>
            <w:pPr>
              <w:adjustRightInd w:val="0"/>
              <w:snapToGrid w:val="0"/>
              <w:spacing w:line="500" w:lineRule="exact"/>
              <w:jc w:val="center"/>
              <w:rPr>
                <w:szCs w:val="21"/>
              </w:rPr>
            </w:pPr>
            <w:r>
              <w:rPr>
                <w:szCs w:val="21"/>
              </w:rPr>
              <w:t>4.7</w:t>
            </w:r>
          </w:p>
        </w:tc>
        <w:tc>
          <w:tcPr>
            <w:tcW w:w="636" w:type="dxa"/>
            <w:noWrap w:val="0"/>
            <w:vAlign w:val="center"/>
          </w:tcPr>
          <w:p>
            <w:pPr>
              <w:adjustRightInd w:val="0"/>
              <w:snapToGrid w:val="0"/>
              <w:spacing w:line="500" w:lineRule="exact"/>
              <w:jc w:val="center"/>
              <w:rPr>
                <w:szCs w:val="21"/>
              </w:rPr>
            </w:pPr>
            <w:r>
              <w:rPr>
                <w:szCs w:val="21"/>
              </w:rPr>
              <w:t>0.6</w:t>
            </w:r>
          </w:p>
          <w:p>
            <w:pPr>
              <w:adjustRightInd w:val="0"/>
              <w:snapToGrid w:val="0"/>
              <w:spacing w:line="500" w:lineRule="exact"/>
              <w:jc w:val="center"/>
              <w:rPr>
                <w:szCs w:val="21"/>
              </w:rPr>
            </w:pPr>
            <w:r>
              <w:rPr>
                <w:szCs w:val="21"/>
              </w:rPr>
              <w:t>4.8</w:t>
            </w:r>
          </w:p>
        </w:tc>
        <w:tc>
          <w:tcPr>
            <w:tcW w:w="636" w:type="dxa"/>
            <w:noWrap w:val="0"/>
            <w:vAlign w:val="center"/>
          </w:tcPr>
          <w:p>
            <w:pPr>
              <w:adjustRightInd w:val="0"/>
              <w:snapToGrid w:val="0"/>
              <w:spacing w:line="500" w:lineRule="exact"/>
              <w:jc w:val="center"/>
              <w:rPr>
                <w:szCs w:val="21"/>
              </w:rPr>
            </w:pPr>
            <w:r>
              <w:rPr>
                <w:szCs w:val="21"/>
              </w:rPr>
              <w:t>0.7</w:t>
            </w:r>
          </w:p>
          <w:p>
            <w:pPr>
              <w:adjustRightInd w:val="0"/>
              <w:snapToGrid w:val="0"/>
              <w:spacing w:line="500" w:lineRule="exact"/>
              <w:jc w:val="center"/>
              <w:rPr>
                <w:szCs w:val="21"/>
              </w:rPr>
            </w:pPr>
            <w:r>
              <w:rPr>
                <w:szCs w:val="21"/>
              </w:rPr>
              <w:t>4.85</w:t>
            </w:r>
          </w:p>
        </w:tc>
        <w:tc>
          <w:tcPr>
            <w:tcW w:w="636" w:type="dxa"/>
            <w:noWrap w:val="0"/>
            <w:vAlign w:val="center"/>
          </w:tcPr>
          <w:p>
            <w:pPr>
              <w:adjustRightInd w:val="0"/>
              <w:snapToGrid w:val="0"/>
              <w:spacing w:line="500" w:lineRule="exact"/>
              <w:jc w:val="center"/>
              <w:rPr>
                <w:szCs w:val="21"/>
              </w:rPr>
            </w:pPr>
            <w:r>
              <w:rPr>
                <w:szCs w:val="21"/>
              </w:rPr>
              <w:t>0.8</w:t>
            </w:r>
          </w:p>
          <w:p>
            <w:pPr>
              <w:adjustRightInd w:val="0"/>
              <w:snapToGrid w:val="0"/>
              <w:spacing w:line="500" w:lineRule="exact"/>
              <w:jc w:val="center"/>
              <w:rPr>
                <w:szCs w:val="21"/>
              </w:rPr>
            </w:pPr>
            <w:r>
              <w:rPr>
                <w:szCs w:val="21"/>
              </w:rPr>
              <w:t>4.9</w:t>
            </w:r>
          </w:p>
        </w:tc>
        <w:tc>
          <w:tcPr>
            <w:tcW w:w="636" w:type="dxa"/>
            <w:noWrap w:val="0"/>
            <w:vAlign w:val="center"/>
          </w:tcPr>
          <w:p>
            <w:pPr>
              <w:adjustRightInd w:val="0"/>
              <w:snapToGrid w:val="0"/>
              <w:spacing w:line="500" w:lineRule="exact"/>
              <w:jc w:val="center"/>
              <w:rPr>
                <w:szCs w:val="21"/>
              </w:rPr>
            </w:pPr>
            <w:r>
              <w:rPr>
                <w:szCs w:val="21"/>
              </w:rPr>
              <w:t>0.9</w:t>
            </w:r>
          </w:p>
          <w:p>
            <w:pPr>
              <w:adjustRightInd w:val="0"/>
              <w:snapToGrid w:val="0"/>
              <w:spacing w:line="500" w:lineRule="exact"/>
              <w:jc w:val="center"/>
              <w:rPr>
                <w:szCs w:val="21"/>
              </w:rPr>
            </w:pPr>
            <w:r>
              <w:rPr>
                <w:szCs w:val="21"/>
              </w:rPr>
              <w:t>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174" w:type="dxa"/>
            <w:noWrap w:val="0"/>
            <w:vAlign w:val="center"/>
          </w:tcPr>
          <w:p>
            <w:pPr>
              <w:adjustRightInd w:val="0"/>
              <w:snapToGrid w:val="0"/>
              <w:spacing w:line="500" w:lineRule="exact"/>
              <w:jc w:val="center"/>
              <w:rPr>
                <w:szCs w:val="21"/>
              </w:rPr>
            </w:pPr>
            <w:r>
              <w:rPr>
                <w:szCs w:val="21"/>
              </w:rPr>
              <w:t>小数记录</w:t>
            </w:r>
          </w:p>
          <w:p>
            <w:pPr>
              <w:adjustRightInd w:val="0"/>
              <w:snapToGrid w:val="0"/>
              <w:spacing w:line="500" w:lineRule="exact"/>
              <w:jc w:val="center"/>
              <w:rPr>
                <w:szCs w:val="21"/>
              </w:rPr>
            </w:pPr>
            <w:r>
              <w:rPr>
                <w:szCs w:val="21"/>
              </w:rPr>
              <w:t>5分记录</w:t>
            </w:r>
          </w:p>
        </w:tc>
        <w:tc>
          <w:tcPr>
            <w:tcW w:w="735" w:type="dxa"/>
            <w:noWrap w:val="0"/>
            <w:vAlign w:val="center"/>
          </w:tcPr>
          <w:p>
            <w:pPr>
              <w:adjustRightInd w:val="0"/>
              <w:snapToGrid w:val="0"/>
              <w:spacing w:line="500" w:lineRule="exact"/>
              <w:jc w:val="center"/>
              <w:rPr>
                <w:szCs w:val="21"/>
              </w:rPr>
            </w:pPr>
            <w:r>
              <w:rPr>
                <w:szCs w:val="21"/>
              </w:rPr>
              <w:t>1.0</w:t>
            </w:r>
          </w:p>
          <w:p>
            <w:pPr>
              <w:adjustRightInd w:val="0"/>
              <w:snapToGrid w:val="0"/>
              <w:spacing w:line="500" w:lineRule="exact"/>
              <w:jc w:val="center"/>
              <w:rPr>
                <w:szCs w:val="21"/>
              </w:rPr>
            </w:pPr>
            <w:r>
              <w:rPr>
                <w:szCs w:val="21"/>
              </w:rPr>
              <w:t>5.0</w:t>
            </w:r>
          </w:p>
        </w:tc>
        <w:tc>
          <w:tcPr>
            <w:tcW w:w="741" w:type="dxa"/>
            <w:noWrap w:val="0"/>
            <w:vAlign w:val="center"/>
          </w:tcPr>
          <w:p>
            <w:pPr>
              <w:adjustRightInd w:val="0"/>
              <w:snapToGrid w:val="0"/>
              <w:spacing w:line="500" w:lineRule="exact"/>
              <w:jc w:val="center"/>
              <w:rPr>
                <w:szCs w:val="21"/>
              </w:rPr>
            </w:pPr>
            <w:r>
              <w:rPr>
                <w:szCs w:val="21"/>
              </w:rPr>
              <w:t>1.2</w:t>
            </w:r>
          </w:p>
          <w:p>
            <w:pPr>
              <w:adjustRightInd w:val="0"/>
              <w:snapToGrid w:val="0"/>
              <w:spacing w:line="500" w:lineRule="exact"/>
              <w:jc w:val="center"/>
              <w:rPr>
                <w:szCs w:val="21"/>
              </w:rPr>
            </w:pPr>
            <w:r>
              <w:rPr>
                <w:szCs w:val="21"/>
              </w:rPr>
              <w:t>5.1</w:t>
            </w:r>
          </w:p>
        </w:tc>
        <w:tc>
          <w:tcPr>
            <w:tcW w:w="741" w:type="dxa"/>
            <w:noWrap w:val="0"/>
            <w:vAlign w:val="center"/>
          </w:tcPr>
          <w:p>
            <w:pPr>
              <w:adjustRightInd w:val="0"/>
              <w:snapToGrid w:val="0"/>
              <w:spacing w:line="500" w:lineRule="exact"/>
              <w:jc w:val="center"/>
              <w:rPr>
                <w:szCs w:val="21"/>
              </w:rPr>
            </w:pPr>
            <w:r>
              <w:rPr>
                <w:szCs w:val="21"/>
              </w:rPr>
              <w:t>1.5</w:t>
            </w:r>
          </w:p>
          <w:p>
            <w:pPr>
              <w:adjustRightInd w:val="0"/>
              <w:snapToGrid w:val="0"/>
              <w:spacing w:line="500" w:lineRule="exact"/>
              <w:jc w:val="center"/>
              <w:rPr>
                <w:szCs w:val="21"/>
              </w:rPr>
            </w:pPr>
            <w:r>
              <w:rPr>
                <w:szCs w:val="21"/>
              </w:rPr>
              <w:t>5.2</w:t>
            </w:r>
          </w:p>
        </w:tc>
        <w:tc>
          <w:tcPr>
            <w:tcW w:w="636" w:type="dxa"/>
            <w:noWrap w:val="0"/>
            <w:vAlign w:val="center"/>
          </w:tcPr>
          <w:p>
            <w:pPr>
              <w:adjustRightInd w:val="0"/>
              <w:snapToGrid w:val="0"/>
              <w:spacing w:line="500" w:lineRule="exact"/>
              <w:jc w:val="center"/>
              <w:rPr>
                <w:szCs w:val="21"/>
              </w:rPr>
            </w:pPr>
            <w:r>
              <w:rPr>
                <w:szCs w:val="21"/>
              </w:rPr>
              <w:t>2.0</w:t>
            </w:r>
          </w:p>
          <w:p>
            <w:pPr>
              <w:adjustRightInd w:val="0"/>
              <w:snapToGrid w:val="0"/>
              <w:spacing w:line="500" w:lineRule="exact"/>
              <w:jc w:val="center"/>
              <w:rPr>
                <w:szCs w:val="21"/>
              </w:rPr>
            </w:pPr>
            <w:r>
              <w:rPr>
                <w:szCs w:val="21"/>
              </w:rPr>
              <w:t>5.3</w:t>
            </w:r>
          </w:p>
        </w:tc>
        <w:tc>
          <w:tcPr>
            <w:tcW w:w="741"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c>
          <w:tcPr>
            <w:tcW w:w="636" w:type="dxa"/>
            <w:noWrap w:val="0"/>
            <w:vAlign w:val="center"/>
          </w:tcPr>
          <w:p>
            <w:pPr>
              <w:adjustRightInd w:val="0"/>
              <w:snapToGrid w:val="0"/>
              <w:spacing w:line="500" w:lineRule="exact"/>
              <w:jc w:val="center"/>
              <w:rPr>
                <w:szCs w:val="21"/>
              </w:rPr>
            </w:pPr>
          </w:p>
        </w:tc>
      </w:tr>
    </w:tbl>
    <w:p>
      <w:pPr>
        <w:pStyle w:val="2"/>
        <w:adjustRightInd w:val="0"/>
        <w:snapToGrid w:val="0"/>
        <w:spacing w:before="0" w:after="0" w:line="500" w:lineRule="exact"/>
        <w:jc w:val="left"/>
        <w:rPr>
          <w:sz w:val="21"/>
          <w:szCs w:val="21"/>
        </w:rPr>
      </w:pPr>
      <w:bookmarkStart w:id="28" w:name="_Toc391888345"/>
    </w:p>
    <w:p>
      <w:pPr>
        <w:pStyle w:val="2"/>
        <w:adjustRightInd w:val="0"/>
        <w:snapToGrid w:val="0"/>
        <w:spacing w:before="0" w:after="0" w:line="500" w:lineRule="exact"/>
        <w:jc w:val="left"/>
        <w:rPr>
          <w:sz w:val="21"/>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
        <w:adjustRightInd w:val="0"/>
        <w:snapToGrid w:val="0"/>
        <w:spacing w:before="0" w:after="0" w:line="500" w:lineRule="exact"/>
        <w:jc w:val="left"/>
        <w:rPr>
          <w:sz w:val="21"/>
          <w:szCs w:val="21"/>
        </w:rPr>
      </w:pPr>
      <w:r>
        <w:rPr>
          <w:sz w:val="21"/>
          <w:szCs w:val="21"/>
        </w:rPr>
        <w:t>附录C  实验室检查相关要求</w:t>
      </w:r>
      <w:bookmarkEnd w:id="28"/>
      <w:r>
        <w:rPr>
          <w:sz w:val="21"/>
          <w:szCs w:val="21"/>
        </w:rPr>
        <w:t xml:space="preserve">  </w:t>
      </w:r>
    </w:p>
    <w:p>
      <w:pPr>
        <w:pStyle w:val="3"/>
        <w:adjustRightInd w:val="0"/>
        <w:snapToGrid w:val="0"/>
        <w:spacing w:before="0" w:after="0" w:line="500" w:lineRule="exact"/>
        <w:rPr>
          <w:rFonts w:ascii="Times New Roman" w:hAnsi="Times New Roman"/>
          <w:sz w:val="21"/>
          <w:szCs w:val="21"/>
        </w:rPr>
      </w:pPr>
      <w:bookmarkStart w:id="29" w:name="_Toc391888346"/>
      <w:r>
        <w:rPr>
          <w:rFonts w:ascii="Times New Roman" w:hAnsi="Times New Roman"/>
          <w:sz w:val="21"/>
          <w:szCs w:val="21"/>
        </w:rPr>
        <w:t>C1  检验科操作程序</w:t>
      </w:r>
      <w:bookmarkEnd w:id="29"/>
    </w:p>
    <w:p>
      <w:pPr>
        <w:adjustRightInd w:val="0"/>
        <w:snapToGrid w:val="0"/>
        <w:spacing w:line="500" w:lineRule="exact"/>
        <w:ind w:firstLine="420" w:firstLineChars="200"/>
        <w:rPr>
          <w:szCs w:val="21"/>
        </w:rPr>
      </w:pPr>
      <w:r>
        <w:rPr>
          <w:szCs w:val="21"/>
        </w:rPr>
        <w:t>[基本条件]</w:t>
      </w:r>
    </w:p>
    <w:p>
      <w:pPr>
        <w:adjustRightInd w:val="0"/>
        <w:snapToGrid w:val="0"/>
        <w:spacing w:line="500" w:lineRule="exact"/>
        <w:ind w:firstLine="420" w:firstLineChars="200"/>
        <w:rPr>
          <w:szCs w:val="21"/>
        </w:rPr>
      </w:pPr>
      <w:r>
        <w:rPr>
          <w:szCs w:val="21"/>
        </w:rPr>
        <w:t>1.工作环境、设备条件应达到本地区临床检验质量控制中心的要求（或参照《北京市体检质量控制和改进评估标准》的要求）。</w:t>
      </w:r>
    </w:p>
    <w:p>
      <w:pPr>
        <w:adjustRightInd w:val="0"/>
        <w:snapToGrid w:val="0"/>
        <w:spacing w:line="500" w:lineRule="exact"/>
        <w:ind w:firstLine="420" w:firstLineChars="200"/>
        <w:rPr>
          <w:szCs w:val="21"/>
        </w:rPr>
      </w:pPr>
      <w:r>
        <w:rPr>
          <w:szCs w:val="21"/>
        </w:rPr>
        <w:t>2.室内各专业设置合理，符合院内感染管理要求。医疗废弃物的管理达到本地区卫生部门对医院废物处理的要求（或参照北京市《医疗废物管理条例》和《北京市医疗卫生机构医疗废物管理规定》），留有原始记录。</w:t>
      </w:r>
    </w:p>
    <w:p>
      <w:pPr>
        <w:adjustRightInd w:val="0"/>
        <w:snapToGrid w:val="0"/>
        <w:spacing w:line="500" w:lineRule="exact"/>
        <w:ind w:firstLine="420" w:firstLineChars="200"/>
        <w:rPr>
          <w:szCs w:val="21"/>
        </w:rPr>
      </w:pPr>
      <w:r>
        <w:rPr>
          <w:szCs w:val="21"/>
        </w:rPr>
        <w:t>3.室内温、湿度达到所用设备的要求。</w:t>
      </w:r>
    </w:p>
    <w:p>
      <w:pPr>
        <w:adjustRightInd w:val="0"/>
        <w:snapToGrid w:val="0"/>
        <w:spacing w:line="500" w:lineRule="exact"/>
        <w:ind w:firstLine="420" w:firstLineChars="200"/>
        <w:rPr>
          <w:szCs w:val="21"/>
        </w:rPr>
      </w:pPr>
      <w:r>
        <w:rPr>
          <w:szCs w:val="21"/>
        </w:rPr>
        <w:t>4.根据检测项目编写相应的操作规程（包括：项目名称、实验原理、实验方法、质量控制、操作步骤、计算方法、临床意义），并适用于操作。</w:t>
      </w:r>
    </w:p>
    <w:p>
      <w:pPr>
        <w:adjustRightInd w:val="0"/>
        <w:snapToGrid w:val="0"/>
        <w:spacing w:line="500" w:lineRule="exact"/>
        <w:ind w:firstLine="420" w:firstLineChars="200"/>
        <w:rPr>
          <w:szCs w:val="21"/>
        </w:rPr>
      </w:pPr>
      <w:r>
        <w:rPr>
          <w:szCs w:val="21"/>
        </w:rPr>
        <w:t>5.应用的设备、试剂应有国家许可的证明文件（许可证、注册证、经销证），试剂存放应符合要求，使用仪器定期校准。</w:t>
      </w:r>
    </w:p>
    <w:p>
      <w:pPr>
        <w:adjustRightInd w:val="0"/>
        <w:snapToGrid w:val="0"/>
        <w:spacing w:line="500" w:lineRule="exact"/>
        <w:ind w:firstLine="420" w:firstLineChars="200"/>
        <w:rPr>
          <w:szCs w:val="21"/>
        </w:rPr>
      </w:pPr>
      <w:r>
        <w:rPr>
          <w:szCs w:val="21"/>
        </w:rPr>
        <w:t>6.实验前（中）应做各检测项目的室内质控，参加国家规定的室间质量评价，成绩合格。</w:t>
      </w:r>
    </w:p>
    <w:p>
      <w:pPr>
        <w:adjustRightInd w:val="0"/>
        <w:snapToGrid w:val="0"/>
        <w:spacing w:line="500" w:lineRule="exact"/>
        <w:ind w:firstLine="420" w:firstLineChars="200"/>
        <w:rPr>
          <w:szCs w:val="21"/>
        </w:rPr>
      </w:pPr>
      <w:r>
        <w:rPr>
          <w:szCs w:val="21"/>
        </w:rPr>
        <w:t>7.从事检验的人员应具备相应资格。</w:t>
      </w:r>
    </w:p>
    <w:p>
      <w:pPr>
        <w:adjustRightInd w:val="0"/>
        <w:snapToGrid w:val="0"/>
        <w:spacing w:line="500" w:lineRule="exact"/>
        <w:ind w:firstLine="420" w:firstLineChars="200"/>
        <w:rPr>
          <w:szCs w:val="21"/>
        </w:rPr>
      </w:pPr>
      <w:r>
        <w:rPr>
          <w:szCs w:val="21"/>
        </w:rPr>
        <w:t>[实验前准备]</w:t>
      </w:r>
    </w:p>
    <w:p>
      <w:pPr>
        <w:adjustRightInd w:val="0"/>
        <w:snapToGrid w:val="0"/>
        <w:spacing w:line="500" w:lineRule="exact"/>
        <w:ind w:firstLine="420" w:firstLineChars="200"/>
        <w:rPr>
          <w:szCs w:val="21"/>
        </w:rPr>
      </w:pPr>
      <w:r>
        <w:rPr>
          <w:szCs w:val="21"/>
        </w:rPr>
        <w:t>1.查看并记录当日工作环境的温度、湿度；冰箱的温度；试剂的使用期限（按要求存放在相应的冰箱中）。</w:t>
      </w:r>
    </w:p>
    <w:p>
      <w:pPr>
        <w:adjustRightInd w:val="0"/>
        <w:snapToGrid w:val="0"/>
        <w:spacing w:line="500" w:lineRule="exact"/>
        <w:ind w:firstLine="420" w:firstLineChars="200"/>
        <w:jc w:val="left"/>
        <w:rPr>
          <w:szCs w:val="21"/>
        </w:rPr>
      </w:pPr>
      <w:r>
        <w:rPr>
          <w:szCs w:val="21"/>
        </w:rPr>
        <w:t xml:space="preserve">2.根据检测项目的要求，正确采集相应的样品。  </w:t>
      </w:r>
    </w:p>
    <w:p>
      <w:pPr>
        <w:adjustRightInd w:val="0"/>
        <w:snapToGrid w:val="0"/>
        <w:spacing w:line="500" w:lineRule="exact"/>
        <w:ind w:firstLine="420" w:firstLineChars="200"/>
        <w:jc w:val="left"/>
        <w:rPr>
          <w:szCs w:val="21"/>
        </w:rPr>
      </w:pPr>
      <w:r>
        <w:rPr>
          <w:szCs w:val="21"/>
        </w:rPr>
        <w:t>3.血常规，采血后2小时内完成显微镜推片工作，标本室温可放置24小时；尿常规，留取标本后2小时内完成检测；生化和免疫项目，采血后样本室温6小时内完成，血糖检测要求灰帽或黄帽真空采血管；血标本可放置</w:t>
      </w:r>
      <w:r>
        <w:rPr>
          <w:rFonts w:hint="eastAsia" w:ascii="仿宋" w:hAnsi="仿宋" w:eastAsia="仿宋" w:cs="仿宋"/>
          <w:szCs w:val="21"/>
        </w:rPr>
        <w:t>2℃～8℃</w:t>
      </w:r>
      <w:r>
        <w:rPr>
          <w:szCs w:val="21"/>
        </w:rPr>
        <w:t>冰箱保存7天。</w:t>
      </w:r>
    </w:p>
    <w:p>
      <w:pPr>
        <w:adjustRightInd w:val="0"/>
        <w:snapToGrid w:val="0"/>
        <w:spacing w:line="500" w:lineRule="exact"/>
        <w:ind w:firstLine="420" w:firstLineChars="200"/>
        <w:jc w:val="left"/>
        <w:rPr>
          <w:szCs w:val="21"/>
        </w:rPr>
      </w:pPr>
      <w:r>
        <w:rPr>
          <w:szCs w:val="21"/>
        </w:rPr>
        <w:t>4.填写标本接收（采集）、拒收记录（包括：数量、状态、时间、接收人）。</w:t>
      </w:r>
    </w:p>
    <w:p>
      <w:pPr>
        <w:adjustRightInd w:val="0"/>
        <w:snapToGrid w:val="0"/>
        <w:spacing w:line="500" w:lineRule="exact"/>
        <w:ind w:firstLine="420" w:firstLineChars="200"/>
        <w:jc w:val="left"/>
        <w:rPr>
          <w:szCs w:val="21"/>
        </w:rPr>
      </w:pPr>
      <w:r>
        <w:rPr>
          <w:szCs w:val="21"/>
        </w:rPr>
        <w:t>[实验中测定]</w:t>
      </w:r>
    </w:p>
    <w:p>
      <w:pPr>
        <w:adjustRightInd w:val="0"/>
        <w:snapToGrid w:val="0"/>
        <w:spacing w:line="500" w:lineRule="exact"/>
        <w:ind w:firstLine="420" w:firstLineChars="200"/>
        <w:jc w:val="left"/>
        <w:rPr>
          <w:szCs w:val="21"/>
        </w:rPr>
      </w:pPr>
      <w:r>
        <w:rPr>
          <w:szCs w:val="21"/>
        </w:rPr>
        <w:t>1.按标准操作规程的要求做检测项目的室内质控。记录原始结果并存档（通过—运行；失控—寻找原因—通过—运行；失控—寻找原因—不通过—停机—求助）。</w:t>
      </w:r>
    </w:p>
    <w:p>
      <w:pPr>
        <w:adjustRightInd w:val="0"/>
        <w:snapToGrid w:val="0"/>
        <w:spacing w:line="500" w:lineRule="exact"/>
        <w:ind w:firstLine="420" w:firstLineChars="200"/>
        <w:jc w:val="left"/>
        <w:rPr>
          <w:szCs w:val="21"/>
        </w:rPr>
      </w:pPr>
      <w:r>
        <w:rPr>
          <w:szCs w:val="21"/>
        </w:rPr>
        <w:t>2.输入（记录）各种检测信息。</w:t>
      </w:r>
    </w:p>
    <w:p>
      <w:pPr>
        <w:adjustRightInd w:val="0"/>
        <w:snapToGrid w:val="0"/>
        <w:spacing w:line="500" w:lineRule="exact"/>
        <w:ind w:firstLine="420" w:firstLineChars="200"/>
        <w:jc w:val="left"/>
        <w:rPr>
          <w:szCs w:val="21"/>
        </w:rPr>
      </w:pPr>
      <w:r>
        <w:rPr>
          <w:szCs w:val="21"/>
        </w:rPr>
        <w:t>3.按标准操作规程要求进行操作。</w:t>
      </w:r>
    </w:p>
    <w:p>
      <w:pPr>
        <w:adjustRightInd w:val="0"/>
        <w:snapToGrid w:val="0"/>
        <w:spacing w:line="500" w:lineRule="exact"/>
        <w:ind w:firstLine="420" w:firstLineChars="200"/>
        <w:jc w:val="left"/>
        <w:rPr>
          <w:szCs w:val="21"/>
        </w:rPr>
      </w:pPr>
      <w:r>
        <w:rPr>
          <w:szCs w:val="21"/>
        </w:rPr>
        <w:t>[实验后分析]</w:t>
      </w:r>
    </w:p>
    <w:p>
      <w:pPr>
        <w:adjustRightInd w:val="0"/>
        <w:snapToGrid w:val="0"/>
        <w:spacing w:line="500" w:lineRule="exact"/>
        <w:ind w:firstLine="420" w:firstLineChars="200"/>
        <w:jc w:val="left"/>
        <w:rPr>
          <w:szCs w:val="21"/>
        </w:rPr>
      </w:pPr>
      <w:r>
        <w:rPr>
          <w:szCs w:val="21"/>
        </w:rPr>
        <w:t>1.输出（计算）结果，审核后无误，即可发放报告。报告单应有检验人员签字、审核人员签字、检验项目的中英文对照、参考值范围，异常结果应有标示。</w:t>
      </w:r>
    </w:p>
    <w:p>
      <w:pPr>
        <w:adjustRightInd w:val="0"/>
        <w:snapToGrid w:val="0"/>
        <w:spacing w:line="500" w:lineRule="exact"/>
        <w:ind w:firstLine="420" w:firstLineChars="200"/>
        <w:jc w:val="left"/>
        <w:rPr>
          <w:szCs w:val="21"/>
        </w:rPr>
      </w:pPr>
      <w:r>
        <w:rPr>
          <w:szCs w:val="21"/>
        </w:rPr>
        <w:t>2.横、纵项审核，有疑问—复检—沟通—记录处理结果。</w:t>
      </w:r>
    </w:p>
    <w:p>
      <w:pPr>
        <w:adjustRightInd w:val="0"/>
        <w:snapToGrid w:val="0"/>
        <w:spacing w:line="500" w:lineRule="exact"/>
        <w:ind w:firstLine="420" w:firstLineChars="200"/>
        <w:rPr>
          <w:szCs w:val="21"/>
        </w:rPr>
      </w:pPr>
      <w:r>
        <w:rPr>
          <w:szCs w:val="21"/>
        </w:rPr>
        <w:t>3.所有原始资料备份（电脑）、存档备查。</w:t>
      </w:r>
    </w:p>
    <w:p>
      <w:pPr>
        <w:pStyle w:val="3"/>
        <w:adjustRightInd w:val="0"/>
        <w:snapToGrid w:val="0"/>
        <w:spacing w:before="0" w:after="0" w:line="500" w:lineRule="exact"/>
        <w:rPr>
          <w:rFonts w:ascii="Times New Roman" w:hAnsi="Times New Roman"/>
          <w:sz w:val="21"/>
          <w:szCs w:val="21"/>
        </w:rPr>
      </w:pPr>
      <w:bookmarkStart w:id="30" w:name="_Toc391888347"/>
      <w:r>
        <w:rPr>
          <w:rFonts w:ascii="Times New Roman" w:hAnsi="Times New Roman"/>
          <w:sz w:val="21"/>
          <w:szCs w:val="21"/>
        </w:rPr>
        <w:t>C2  采血室操作规程</w:t>
      </w:r>
      <w:bookmarkEnd w:id="30"/>
    </w:p>
    <w:p>
      <w:pPr>
        <w:adjustRightInd w:val="0"/>
        <w:snapToGrid w:val="0"/>
        <w:spacing w:line="500" w:lineRule="exact"/>
        <w:ind w:firstLine="420" w:firstLineChars="200"/>
        <w:jc w:val="left"/>
        <w:rPr>
          <w:szCs w:val="21"/>
        </w:rPr>
      </w:pPr>
      <w:r>
        <w:rPr>
          <w:szCs w:val="21"/>
        </w:rPr>
        <w:t>[应备物品]</w:t>
      </w:r>
    </w:p>
    <w:p>
      <w:pPr>
        <w:adjustRightInd w:val="0"/>
        <w:snapToGrid w:val="0"/>
        <w:spacing w:line="500" w:lineRule="exact"/>
        <w:ind w:firstLine="420" w:firstLineChars="200"/>
        <w:jc w:val="left"/>
        <w:rPr>
          <w:szCs w:val="21"/>
        </w:rPr>
      </w:pPr>
      <w:r>
        <w:rPr>
          <w:szCs w:val="21"/>
        </w:rPr>
        <w:t>一次性负压真空采血器（管、针、贴、架）或注射器，治疗巾（一次性纸巾），止血带，碘酒、酒精或碘伏，棉签（棉球），放置采血后废弃物（针头、注射器等）的专用回收容器，紫外线灯，以及污物桶等。</w:t>
      </w:r>
    </w:p>
    <w:p>
      <w:pPr>
        <w:adjustRightInd w:val="0"/>
        <w:snapToGrid w:val="0"/>
        <w:spacing w:line="500" w:lineRule="exact"/>
        <w:ind w:firstLine="420" w:firstLineChars="200"/>
        <w:jc w:val="left"/>
        <w:rPr>
          <w:szCs w:val="21"/>
        </w:rPr>
      </w:pPr>
      <w:r>
        <w:rPr>
          <w:szCs w:val="21"/>
        </w:rPr>
        <w:t>[操作步骤]</w:t>
      </w:r>
    </w:p>
    <w:p>
      <w:pPr>
        <w:adjustRightInd w:val="0"/>
        <w:snapToGrid w:val="0"/>
        <w:spacing w:line="500" w:lineRule="exact"/>
        <w:ind w:firstLine="420" w:firstLineChars="200"/>
        <w:jc w:val="left"/>
        <w:rPr>
          <w:szCs w:val="21"/>
        </w:rPr>
      </w:pPr>
      <w:r>
        <w:rPr>
          <w:szCs w:val="21"/>
        </w:rPr>
        <w:t>1.抽血室护士应严格执行无菌操作技术规程，熟练业务。</w:t>
      </w:r>
    </w:p>
    <w:p>
      <w:pPr>
        <w:adjustRightInd w:val="0"/>
        <w:snapToGrid w:val="0"/>
        <w:spacing w:line="500" w:lineRule="exact"/>
        <w:ind w:firstLine="420" w:firstLineChars="200"/>
        <w:jc w:val="left"/>
      </w:pPr>
      <w:r>
        <w:t>2.抽血前，护士要洗手、戴口罩、帽子、乳胶手套。</w:t>
      </w:r>
    </w:p>
    <w:p>
      <w:pPr>
        <w:adjustRightInd w:val="0"/>
        <w:snapToGrid w:val="0"/>
        <w:spacing w:line="500" w:lineRule="exact"/>
        <w:ind w:firstLine="420" w:firstLineChars="200"/>
        <w:jc w:val="left"/>
      </w:pPr>
      <w:r>
        <w:t>3.在试管上标明受检者的姓名或顺序号，并仔细核对，严防差错。</w:t>
      </w:r>
    </w:p>
    <w:p>
      <w:pPr>
        <w:adjustRightInd w:val="0"/>
        <w:snapToGrid w:val="0"/>
        <w:spacing w:line="500" w:lineRule="exact"/>
        <w:ind w:firstLine="420" w:firstLineChars="200"/>
        <w:jc w:val="left"/>
      </w:pPr>
      <w:r>
        <w:t>4.采血前检查穿刺针头是否平滑，试管皮塞是否有松动、裂缝。</w:t>
      </w:r>
    </w:p>
    <w:p>
      <w:pPr>
        <w:adjustRightInd w:val="0"/>
        <w:snapToGrid w:val="0"/>
        <w:spacing w:line="500" w:lineRule="exact"/>
        <w:ind w:firstLine="420" w:firstLineChars="200"/>
        <w:jc w:val="left"/>
      </w:pPr>
      <w:r>
        <w:t>5.仔细选择受检者血管，尽量穿刺左上肢，常用肘窝部贵要静脉、肘正中静脉、头静脉及前臂内侧静脉。</w:t>
      </w:r>
    </w:p>
    <w:p>
      <w:pPr>
        <w:adjustRightInd w:val="0"/>
        <w:snapToGrid w:val="0"/>
        <w:spacing w:line="500" w:lineRule="exact"/>
        <w:ind w:firstLine="420" w:firstLineChars="200"/>
        <w:jc w:val="left"/>
      </w:pPr>
      <w:r>
        <w:t>6.在穿刺部位肢体下放治疗巾（或一次性纸巾）、止血带。</w:t>
      </w:r>
    </w:p>
    <w:p>
      <w:pPr>
        <w:adjustRightInd w:val="0"/>
        <w:snapToGrid w:val="0"/>
        <w:spacing w:line="500" w:lineRule="exact"/>
        <w:ind w:firstLine="420" w:firstLineChars="200"/>
        <w:jc w:val="left"/>
      </w:pPr>
      <w:r>
        <w:t xml:space="preserve">7.消毒穿刺部位。以进针点为中心，消毒范围大于5 </w:t>
      </w:r>
      <w:r>
        <w:rPr>
          <w:rFonts w:hint="eastAsia"/>
        </w:rPr>
        <w:t>厘米</w:t>
      </w:r>
      <w:r>
        <w:t>。</w:t>
      </w:r>
    </w:p>
    <w:p>
      <w:pPr>
        <w:adjustRightInd w:val="0"/>
        <w:snapToGrid w:val="0"/>
        <w:spacing w:line="500" w:lineRule="exact"/>
        <w:ind w:firstLine="420" w:firstLineChars="200"/>
        <w:jc w:val="left"/>
      </w:pPr>
      <w:r>
        <w:t xml:space="preserve">8.在静脉穿刺部位上方约6 </w:t>
      </w:r>
      <w:r>
        <w:rPr>
          <w:rFonts w:hint="eastAsia"/>
        </w:rPr>
        <w:t>厘米</w:t>
      </w:r>
      <w:r>
        <w:t>外扎止血带，嘱受检者握紧拳头，使静脉充盈显露。</w:t>
      </w:r>
    </w:p>
    <w:p>
      <w:pPr>
        <w:adjustRightInd w:val="0"/>
        <w:snapToGrid w:val="0"/>
        <w:spacing w:line="500" w:lineRule="exact"/>
        <w:ind w:firstLine="420" w:firstLineChars="200"/>
        <w:jc w:val="left"/>
      </w:pPr>
      <w:r>
        <w:t>9.穿刺针头斜面向上，呈15～30°角穿刺，见回血后，插入负压真空采血管至所需血量，放松止血带，以采血贴、棉签或棉球压住针孔并拔出针头。</w:t>
      </w:r>
    </w:p>
    <w:p>
      <w:pPr>
        <w:adjustRightInd w:val="0"/>
        <w:snapToGrid w:val="0"/>
        <w:spacing w:line="500" w:lineRule="exact"/>
        <w:ind w:firstLine="420" w:firstLineChars="200"/>
        <w:jc w:val="left"/>
      </w:pPr>
      <w:r>
        <w:t>10.嘱受检者继续压迫针孔3～5分钟，勿揉搓针孔处，以免穿刺部位瘀血。</w:t>
      </w:r>
    </w:p>
    <w:p>
      <w:pPr>
        <w:adjustRightInd w:val="0"/>
        <w:snapToGrid w:val="0"/>
        <w:spacing w:line="500" w:lineRule="exact"/>
        <w:ind w:firstLine="420" w:firstLineChars="200"/>
        <w:jc w:val="left"/>
      </w:pPr>
      <w:r>
        <w:t>11.需要抗凝的血标本要上下轻柔摇匀6～8次，放入采血架后及时、安全送检。</w:t>
      </w:r>
    </w:p>
    <w:p>
      <w:pPr>
        <w:adjustRightInd w:val="0"/>
        <w:snapToGrid w:val="0"/>
        <w:spacing w:line="500" w:lineRule="exact"/>
        <w:ind w:firstLine="420" w:firstLineChars="200"/>
        <w:jc w:val="left"/>
      </w:pPr>
      <w:r>
        <w:t>12.若一次穿刺失败，重新穿刺需更换部位。</w:t>
      </w:r>
    </w:p>
    <w:p>
      <w:pPr>
        <w:adjustRightInd w:val="0"/>
        <w:snapToGrid w:val="0"/>
        <w:spacing w:line="500" w:lineRule="exact"/>
        <w:ind w:firstLine="420" w:firstLineChars="200"/>
        <w:jc w:val="left"/>
      </w:pPr>
      <w:r>
        <w:t xml:space="preserve">[消毒隔离、预防交叉感染措施] </w:t>
      </w:r>
    </w:p>
    <w:p>
      <w:pPr>
        <w:adjustRightInd w:val="0"/>
        <w:snapToGrid w:val="0"/>
        <w:spacing w:line="500" w:lineRule="exact"/>
        <w:ind w:firstLine="420" w:firstLineChars="200"/>
        <w:jc w:val="left"/>
      </w:pPr>
      <w:r>
        <w:t>1.每日定时开窗通风。</w:t>
      </w:r>
    </w:p>
    <w:p>
      <w:pPr>
        <w:adjustRightInd w:val="0"/>
        <w:snapToGrid w:val="0"/>
        <w:spacing w:line="500" w:lineRule="exact"/>
        <w:ind w:firstLine="420" w:firstLineChars="200"/>
        <w:jc w:val="left"/>
      </w:pPr>
      <w:r>
        <w:t>2.每日定时用紫外线消毒采血室30～60分钟。</w:t>
      </w:r>
    </w:p>
    <w:p>
      <w:pPr>
        <w:adjustRightInd w:val="0"/>
        <w:snapToGrid w:val="0"/>
        <w:spacing w:line="500" w:lineRule="exact"/>
        <w:ind w:firstLine="420" w:firstLineChars="200"/>
        <w:jc w:val="left"/>
      </w:pPr>
      <w:r>
        <w:t>3.每日清洁桌椅和地面，必要时用有效的消毒液擦拭。</w:t>
      </w:r>
    </w:p>
    <w:p>
      <w:pPr>
        <w:adjustRightInd w:val="0"/>
        <w:snapToGrid w:val="0"/>
        <w:spacing w:line="500" w:lineRule="exact"/>
        <w:ind w:firstLine="420" w:firstLineChars="200"/>
        <w:jc w:val="left"/>
      </w:pPr>
      <w:r>
        <w:t>4.被血液污染的台面、地面要及时用高效消毒剂擦拭。</w:t>
      </w:r>
    </w:p>
    <w:p>
      <w:pPr>
        <w:adjustRightInd w:val="0"/>
        <w:snapToGrid w:val="0"/>
        <w:spacing w:line="500" w:lineRule="exact"/>
        <w:ind w:firstLine="420" w:firstLineChars="200"/>
        <w:jc w:val="left"/>
      </w:pPr>
      <w:r>
        <w:t>5.碘酒、酒精或碘伏应密闭存放，容器每周消毒并更换2次；建立物品消毒有效期登记，并认真做好记录，以确保无菌物品的有效性。</w:t>
      </w:r>
    </w:p>
    <w:p>
      <w:pPr>
        <w:adjustRightInd w:val="0"/>
        <w:snapToGrid w:val="0"/>
        <w:spacing w:line="500" w:lineRule="exact"/>
        <w:ind w:firstLine="420" w:firstLineChars="200"/>
        <w:jc w:val="left"/>
      </w:pPr>
      <w:r>
        <w:t>6.受检者要做到一人一针一巾一带。</w:t>
      </w:r>
    </w:p>
    <w:p>
      <w:pPr>
        <w:adjustRightInd w:val="0"/>
        <w:snapToGrid w:val="0"/>
        <w:spacing w:line="500" w:lineRule="exact"/>
        <w:ind w:firstLine="420" w:firstLineChars="200"/>
        <w:jc w:val="left"/>
      </w:pPr>
      <w:r>
        <w:t>7.医用废弃物置于防渗漏、防锐器穿透的专用包装物或密闭容器内，交由医疗废物集中处置单位处理。</w:t>
      </w:r>
    </w:p>
    <w:p>
      <w:pPr>
        <w:pStyle w:val="3"/>
        <w:adjustRightInd w:val="0"/>
        <w:snapToGrid w:val="0"/>
        <w:spacing w:before="0" w:after="0" w:line="500" w:lineRule="exact"/>
        <w:rPr>
          <w:rFonts w:ascii="Times New Roman" w:hAnsi="Times New Roman"/>
          <w:sz w:val="21"/>
          <w:szCs w:val="21"/>
        </w:rPr>
      </w:pPr>
      <w:bookmarkStart w:id="31" w:name="_Toc391888348"/>
      <w:r>
        <w:rPr>
          <w:rFonts w:ascii="Times New Roman" w:hAnsi="Times New Roman"/>
          <w:sz w:val="21"/>
          <w:szCs w:val="21"/>
        </w:rPr>
        <w:t>C3  艾滋病检测初筛实验室必备条件</w:t>
      </w:r>
      <w:bookmarkEnd w:id="31"/>
    </w:p>
    <w:p>
      <w:pPr>
        <w:adjustRightInd w:val="0"/>
        <w:snapToGrid w:val="0"/>
        <w:spacing w:line="500" w:lineRule="exact"/>
        <w:ind w:firstLine="420" w:firstLineChars="200"/>
      </w:pPr>
      <w:r>
        <w:t>录用公务员体检项目包括艾滋病毒抗体筛查，因此承担此项工作的医疗机构必须建立艾滋病检测初筛实验室。根据卫生部1997年下发的《全国艾滋病检测工作规范》，初筛实验室必须具备以下基本条件：</w:t>
      </w:r>
    </w:p>
    <w:p>
      <w:pPr>
        <w:adjustRightInd w:val="0"/>
        <w:snapToGrid w:val="0"/>
        <w:spacing w:line="500" w:lineRule="exact"/>
        <w:ind w:firstLine="420" w:firstLineChars="200"/>
      </w:pPr>
      <w:r>
        <w:t xml:space="preserve">[人员条件] </w:t>
      </w:r>
    </w:p>
    <w:p>
      <w:pPr>
        <w:adjustRightInd w:val="0"/>
        <w:snapToGrid w:val="0"/>
        <w:spacing w:line="500" w:lineRule="exact"/>
        <w:ind w:firstLine="420" w:firstLineChars="200"/>
      </w:pPr>
      <w:r>
        <w:t>有3名以上（含3名）医技人员，其中中级卫生技术职称人员1名以上（含1名），从事病毒血清学检测技术工作2年以上（含2年），接受过国家或省级HIV抗体确认中心举办的HIV抗体检测学习班培训，并获得合格证书。</w:t>
      </w:r>
    </w:p>
    <w:p>
      <w:pPr>
        <w:adjustRightInd w:val="0"/>
        <w:snapToGrid w:val="0"/>
        <w:spacing w:line="500" w:lineRule="exact"/>
        <w:ind w:firstLine="420" w:firstLineChars="200"/>
      </w:pPr>
      <w:r>
        <w:t>[场所及设备条件]</w:t>
      </w:r>
    </w:p>
    <w:p>
      <w:pPr>
        <w:adjustRightInd w:val="0"/>
        <w:snapToGrid w:val="0"/>
        <w:spacing w:line="500" w:lineRule="exact"/>
        <w:ind w:firstLine="420" w:firstLineChars="200"/>
      </w:pPr>
      <w:r>
        <w:t>至少有独立或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Pr>
        <w:adjustRightInd w:val="0"/>
        <w:snapToGrid w:val="0"/>
        <w:spacing w:line="500" w:lineRule="exact"/>
        <w:rPr>
          <w:sz w:val="24"/>
        </w:rPr>
      </w:pPr>
    </w:p>
    <w:p>
      <w:pPr>
        <w:adjustRightInd w:val="0"/>
        <w:snapToGrid w:val="0"/>
        <w:spacing w:line="500" w:lineRule="exact"/>
        <w:rPr>
          <w:sz w:val="24"/>
        </w:rPr>
      </w:pPr>
    </w:p>
    <w:p>
      <w:pPr>
        <w:adjustRightInd w:val="0"/>
        <w:snapToGrid w:val="0"/>
        <w:spacing w:line="500" w:lineRule="exact"/>
        <w:rPr>
          <w:sz w:val="24"/>
        </w:rPr>
      </w:pPr>
    </w:p>
    <w:p>
      <w:pPr>
        <w:adjustRightInd w:val="0"/>
        <w:snapToGrid w:val="0"/>
        <w:spacing w:line="500" w:lineRule="exact"/>
        <w:rPr>
          <w:sz w:val="24"/>
        </w:rPr>
      </w:pPr>
    </w:p>
    <w:p>
      <w:pPr>
        <w:adjustRightInd w:val="0"/>
        <w:snapToGrid w:val="0"/>
        <w:spacing w:line="500" w:lineRule="exact"/>
        <w:rPr>
          <w:sz w:val="24"/>
        </w:rPr>
      </w:pPr>
    </w:p>
    <w:p>
      <w:pPr>
        <w:rPr>
          <w:rFonts w:ascii="仿宋_GB2312" w:hAnsi="宋体" w:eastAsia="仿宋_GB2312"/>
          <w:bCs/>
          <w:sz w:val="32"/>
          <w:szCs w:val="32"/>
        </w:rPr>
      </w:pPr>
      <w:r>
        <w:rPr>
          <w:sz w:val="28"/>
          <w:szCs w:val="28"/>
        </w:rPr>
        <w:t>附录</w:t>
      </w:r>
      <w:r>
        <w:rPr>
          <w:rFonts w:hint="eastAsia"/>
          <w:sz w:val="28"/>
          <w:szCs w:val="28"/>
        </w:rPr>
        <w:t>D</w:t>
      </w:r>
      <w:r>
        <w:rPr>
          <w:sz w:val="28"/>
          <w:szCs w:val="28"/>
        </w:rPr>
        <w:t xml:space="preserve">  </w:t>
      </w:r>
    </w:p>
    <w:p>
      <w:pPr>
        <w:ind w:firstLine="6035" w:firstLineChars="2004"/>
        <w:rPr>
          <w:rFonts w:ascii="楷体_GB2312" w:hAnsi="宋体" w:eastAsia="楷体_GB2312"/>
          <w:b/>
          <w:bCs/>
          <w:spacing w:val="44"/>
          <w:sz w:val="32"/>
        </w:rPr>
      </w:pPr>
      <w:r>
        <w:rPr>
          <w:rFonts w:hint="eastAsia" w:ascii="宋体" w:hAnsi="宋体"/>
          <w:b/>
          <w:bCs/>
          <w:sz w:val="30"/>
          <w:szCs w:val="30"/>
        </w:rPr>
        <w:t>体检编号</w:t>
      </w:r>
      <w:r>
        <w:rPr>
          <w:rFonts w:hint="eastAsia" w:ascii="楷体_GB2312" w:hAnsi="宋体" w:eastAsia="楷体_GB2312"/>
          <w:b/>
          <w:bCs/>
          <w:sz w:val="32"/>
        </w:rPr>
        <w:t>：</w:t>
      </w:r>
    </w:p>
    <w:p>
      <w:pPr>
        <w:jc w:val="center"/>
        <w:rPr>
          <w:rFonts w:eastAsia="黑体"/>
          <w:b/>
          <w:bCs/>
          <w:spacing w:val="44"/>
          <w:sz w:val="44"/>
        </w:rPr>
      </w:pPr>
      <w:r>
        <w:rPr>
          <w:rFonts w:hint="eastAsia" w:eastAsia="黑体"/>
          <w:b/>
          <w:bCs/>
          <w:spacing w:val="44"/>
          <w:sz w:val="44"/>
        </w:rPr>
        <w:t xml:space="preserve"> </w:t>
      </w:r>
    </w:p>
    <w:p>
      <w:pPr>
        <w:spacing w:line="680" w:lineRule="exact"/>
        <w:jc w:val="center"/>
        <w:rPr>
          <w:rFonts w:ascii="宋体" w:hAnsi="宋体"/>
          <w:b/>
          <w:bCs/>
          <w:spacing w:val="20"/>
          <w:sz w:val="48"/>
          <w:szCs w:val="48"/>
        </w:rPr>
      </w:pPr>
      <w:r>
        <w:rPr>
          <w:rFonts w:hint="eastAsia" w:ascii="宋体" w:hAnsi="宋体"/>
          <w:b/>
          <w:bCs/>
          <w:spacing w:val="20"/>
          <w:sz w:val="48"/>
          <w:szCs w:val="48"/>
        </w:rPr>
        <w:t>公务员录用</w:t>
      </w:r>
    </w:p>
    <w:p>
      <w:pPr>
        <w:spacing w:line="400" w:lineRule="exact"/>
        <w:jc w:val="center"/>
        <w:rPr>
          <w:b/>
          <w:bCs/>
          <w:spacing w:val="22"/>
          <w:sz w:val="28"/>
        </w:rPr>
      </w:pPr>
    </w:p>
    <w:p>
      <w:pPr>
        <w:jc w:val="center"/>
        <w:rPr>
          <w:rFonts w:ascii="宋体" w:hAnsi="宋体"/>
          <w:b/>
          <w:bCs/>
          <w:spacing w:val="44"/>
          <w:sz w:val="80"/>
          <w:szCs w:val="80"/>
        </w:rPr>
      </w:pPr>
      <w:r>
        <w:rPr>
          <w:rFonts w:hint="eastAsia" w:ascii="宋体" w:hAnsi="宋体"/>
          <w:b/>
          <w:bCs/>
          <w:spacing w:val="16"/>
          <w:sz w:val="80"/>
          <w:szCs w:val="80"/>
        </w:rPr>
        <w:t>体  检  表</w:t>
      </w: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jc w:val="center"/>
        <w:rPr>
          <w:rFonts w:ascii="宋体" w:hAnsi="宋体"/>
          <w:b/>
          <w:bCs/>
          <w:sz w:val="28"/>
        </w:rPr>
      </w:pPr>
    </w:p>
    <w:p>
      <w:pPr>
        <w:rPr>
          <w:rFonts w:ascii="黑体" w:hAnsi="宋体" w:eastAsia="黑体"/>
          <w:b/>
          <w:bCs/>
          <w:spacing w:val="20"/>
          <w:sz w:val="28"/>
          <w:szCs w:val="28"/>
        </w:rPr>
      </w:pPr>
    </w:p>
    <w:p>
      <w:pPr>
        <w:spacing w:line="500" w:lineRule="exact"/>
        <w:ind w:firstLine="2248" w:firstLineChars="700"/>
        <w:rPr>
          <w:rFonts w:ascii="黑体" w:hAnsi="宋体" w:eastAsia="黑体"/>
          <w:b/>
          <w:bCs/>
          <w:spacing w:val="20"/>
          <w:sz w:val="28"/>
          <w:szCs w:val="28"/>
        </w:rPr>
      </w:pPr>
      <w:r>
        <w:rPr>
          <w:rFonts w:hint="eastAsia" w:ascii="黑体" w:hAnsi="宋体" w:eastAsia="黑体"/>
          <w:b/>
          <w:bCs/>
          <w:spacing w:val="20"/>
          <w:sz w:val="28"/>
          <w:szCs w:val="28"/>
        </w:rPr>
        <w:t>人力资源社会保障部</w:t>
      </w:r>
    </w:p>
    <w:p>
      <w:pPr>
        <w:spacing w:line="500" w:lineRule="exact"/>
        <w:jc w:val="center"/>
        <w:rPr>
          <w:rFonts w:ascii="黑体" w:hAnsi="宋体" w:eastAsia="黑体"/>
          <w:b/>
          <w:bCs/>
          <w:spacing w:val="20"/>
          <w:sz w:val="28"/>
          <w:szCs w:val="28"/>
        </w:rPr>
      </w:pPr>
      <w:r>
        <w:rPr>
          <w:rFonts w:hint="eastAsia" w:ascii="黑体" w:hAnsi="宋体" w:eastAsia="黑体"/>
          <w:b/>
          <w:bCs/>
          <w:spacing w:val="20"/>
          <w:sz w:val="28"/>
          <w:szCs w:val="28"/>
        </w:rPr>
        <w:t xml:space="preserve">                    制</w:t>
      </w:r>
    </w:p>
    <w:p>
      <w:pPr>
        <w:rPr>
          <w:rFonts w:hint="eastAsia" w:ascii="黑体" w:hAnsi="宋体" w:eastAsia="黑体"/>
          <w:b/>
          <w:bCs/>
          <w:spacing w:val="20"/>
          <w:sz w:val="28"/>
          <w:szCs w:val="28"/>
        </w:rPr>
      </w:pPr>
      <w:r>
        <w:rPr>
          <w:rFonts w:hint="eastAsia" w:ascii="黑体" w:hAnsi="宋体" w:eastAsia="黑体"/>
          <w:b/>
          <w:bCs/>
          <w:spacing w:val="20"/>
          <w:sz w:val="28"/>
          <w:szCs w:val="28"/>
        </w:rPr>
        <w:t xml:space="preserve">             卫  生 计  生  委</w:t>
      </w:r>
    </w:p>
    <w:p>
      <w:pPr>
        <w:rPr>
          <w:rFonts w:hint="eastAsia" w:ascii="黑体" w:hAnsi="宋体" w:eastAsia="黑体"/>
          <w:b/>
          <w:bCs/>
          <w:spacing w:val="20"/>
          <w:sz w:val="28"/>
          <w:szCs w:val="28"/>
        </w:rPr>
      </w:pPr>
    </w:p>
    <w:p>
      <w:pPr>
        <w:rPr>
          <w:rFonts w:hint="eastAsia" w:ascii="黑体" w:hAnsi="宋体" w:eastAsia="黑体"/>
          <w:b/>
          <w:bCs/>
          <w:spacing w:val="20"/>
          <w:sz w:val="28"/>
          <w:szCs w:val="28"/>
        </w:rPr>
      </w:pPr>
    </w:p>
    <w:p>
      <w:pPr>
        <w:rPr>
          <w:rFonts w:hint="eastAsia" w:ascii="黑体" w:hAnsi="宋体" w:eastAsia="黑体"/>
          <w:b/>
          <w:bCs/>
          <w:spacing w:val="20"/>
          <w:sz w:val="28"/>
          <w:szCs w:val="28"/>
        </w:rPr>
      </w:pPr>
    </w:p>
    <w:p>
      <w:pPr>
        <w:jc w:val="center"/>
        <w:rPr>
          <w:rFonts w:ascii="宋体" w:hAnsi="宋体"/>
          <w:b/>
          <w:bCs/>
          <w:spacing w:val="100"/>
          <w:sz w:val="52"/>
        </w:rPr>
      </w:pPr>
      <w:r>
        <w:rPr>
          <w:rFonts w:hint="eastAsia" w:ascii="宋体" w:hAnsi="宋体"/>
          <w:b/>
          <w:bCs/>
          <w:spacing w:val="100"/>
          <w:sz w:val="52"/>
        </w:rPr>
        <w:t>体检须知</w:t>
      </w:r>
    </w:p>
    <w:p>
      <w:pPr>
        <w:rPr>
          <w:rFonts w:ascii="宋体" w:hAnsi="宋体"/>
          <w:b/>
          <w:bCs/>
          <w:sz w:val="28"/>
        </w:rPr>
      </w:pP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为了准确反映受检者身体的真实状况，请注意以下事项：</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1.均应到指定医院进行体检，其它医疗单位的检查结果一律无效。</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2.体检严禁弄虚作假、冒名顶替；如隐瞒病史影响体检结果的，后果自负。</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3.体检表上贴近期二寸免冠照片一张，并加盖公章。</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4.本表第二页由受检者本人填写（用黑色签字笔或钢笔），要求字迹清楚，无涂改，病史部分要如实、逐项填齐，不能遗漏。</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5.体检前一天请注意休息，勿熬夜，不要饮酒，避免剧烈运动。</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6.体检当天需进行采血、B超等检查，请在受检前禁食8-12小时。</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7.女性受检者月经期间请勿做妇科及尿液检查，待经期完毕后再补检；怀孕或可能已受孕者，事先告知医护人员，勿做X光检查。</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8.请配合医生认真检查所有项目，勿漏检。若自动放弃某一检查项目，将会影响对您的录用。</w:t>
      </w: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9.体检医师可根据实际需要，增加必要的相应检查、检验项目。</w:t>
      </w:r>
    </w:p>
    <w:p>
      <w:pPr>
        <w:spacing w:line="6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10．如对体检结果有疑义，请按有关规定办理。</w:t>
      </w:r>
    </w:p>
    <w:p>
      <w:pPr>
        <w:spacing w:line="600" w:lineRule="exact"/>
        <w:ind w:firstLine="562" w:firstLineChars="200"/>
        <w:rPr>
          <w:rFonts w:hint="eastAsia" w:ascii="仿宋_GB2312" w:hAnsi="宋体" w:eastAsia="仿宋_GB2312"/>
          <w:b/>
          <w:bCs/>
          <w:sz w:val="28"/>
          <w:szCs w:val="28"/>
        </w:rPr>
      </w:pPr>
    </w:p>
    <w:p>
      <w:pPr>
        <w:spacing w:line="600" w:lineRule="exact"/>
        <w:ind w:firstLine="562" w:firstLineChars="200"/>
        <w:rPr>
          <w:rFonts w:hint="eastAsia" w:ascii="仿宋_GB2312" w:hAnsi="宋体" w:eastAsia="仿宋_GB2312"/>
          <w:b/>
          <w:bCs/>
          <w:sz w:val="28"/>
          <w:szCs w:val="28"/>
        </w:rPr>
      </w:pPr>
    </w:p>
    <w:p>
      <w:pPr>
        <w:pStyle w:val="2"/>
        <w:adjustRightInd w:val="0"/>
        <w:snapToGrid w:val="0"/>
        <w:spacing w:before="0" w:after="0" w:line="360" w:lineRule="exact"/>
        <w:jc w:val="left"/>
        <w:rPr>
          <w:sz w:val="28"/>
          <w:szCs w:val="28"/>
        </w:rPr>
      </w:pPr>
      <w:r>
        <w:rPr>
          <w:sz w:val="28"/>
          <w:szCs w:val="28"/>
        </w:rPr>
        <w:t xml:space="preserve"> </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
        <w:gridCol w:w="646"/>
        <w:gridCol w:w="616"/>
        <w:gridCol w:w="92"/>
        <w:gridCol w:w="895"/>
        <w:gridCol w:w="8"/>
        <w:gridCol w:w="861"/>
        <w:gridCol w:w="254"/>
        <w:gridCol w:w="446"/>
        <w:gridCol w:w="7"/>
        <w:gridCol w:w="568"/>
        <w:gridCol w:w="307"/>
        <w:gridCol w:w="644"/>
        <w:gridCol w:w="12"/>
        <w:gridCol w:w="744"/>
        <w:gridCol w:w="1021"/>
        <w:gridCol w:w="951"/>
        <w:gridCol w:w="322"/>
        <w:gridCol w:w="1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tabs>
                <w:tab w:val="left" w:pos="540"/>
              </w:tabs>
              <w:jc w:val="center"/>
              <w:rPr>
                <w:rFonts w:ascii="楷体_GB2312" w:eastAsia="楷体_GB2312"/>
                <w:b/>
                <w:bCs/>
                <w:sz w:val="24"/>
              </w:rPr>
            </w:pPr>
            <w:r>
              <w:rPr>
                <w:rFonts w:hint="eastAsia" w:ascii="楷体_GB2312" w:eastAsia="楷体_GB2312"/>
                <w:b/>
                <w:bCs/>
                <w:sz w:val="24"/>
              </w:rPr>
              <w:t>姓 名</w:t>
            </w:r>
          </w:p>
        </w:tc>
        <w:tc>
          <w:tcPr>
            <w:tcW w:w="1764" w:type="dxa"/>
            <w:gridSpan w:val="3"/>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sz w:val="24"/>
              </w:rPr>
            </w:pPr>
            <w:r>
              <w:rPr>
                <w:rFonts w:hint="eastAsia" w:ascii="楷体_GB2312" w:eastAsia="楷体_GB2312"/>
                <w:b/>
                <w:bCs/>
                <w:sz w:val="24"/>
              </w:rPr>
              <w:t>性 别</w:t>
            </w:r>
          </w:p>
        </w:tc>
        <w:tc>
          <w:tcPr>
            <w:tcW w:w="1400" w:type="dxa"/>
            <w:gridSpan w:val="3"/>
            <w:noWrap w:val="0"/>
            <w:vAlign w:val="center"/>
          </w:tcPr>
          <w:p>
            <w:pPr>
              <w:jc w:val="center"/>
              <w:rPr>
                <w:rFonts w:ascii="楷体_GB2312" w:eastAsia="楷体_GB2312"/>
                <w:b/>
                <w:bCs/>
              </w:rPr>
            </w:pPr>
          </w:p>
        </w:tc>
        <w:tc>
          <w:tcPr>
            <w:tcW w:w="1021" w:type="dxa"/>
            <w:noWrap w:val="0"/>
            <w:tcMar>
              <w:left w:w="0" w:type="dxa"/>
              <w:right w:w="0" w:type="dxa"/>
            </w:tcMar>
            <w:vAlign w:val="center"/>
          </w:tcPr>
          <w:p>
            <w:pPr>
              <w:jc w:val="center"/>
              <w:rPr>
                <w:rFonts w:ascii="楷体_GB2312" w:eastAsia="楷体_GB2312"/>
                <w:b/>
                <w:bCs/>
                <w:sz w:val="24"/>
              </w:rPr>
            </w:pPr>
            <w:r>
              <w:rPr>
                <w:rFonts w:hint="eastAsia" w:ascii="楷体_GB2312" w:eastAsia="楷体_GB2312"/>
                <w:b/>
                <w:bCs/>
                <w:sz w:val="24"/>
              </w:rPr>
              <w:t>出生年月</w:t>
            </w:r>
          </w:p>
        </w:tc>
        <w:tc>
          <w:tcPr>
            <w:tcW w:w="951" w:type="dxa"/>
            <w:noWrap w:val="0"/>
            <w:vAlign w:val="center"/>
          </w:tcPr>
          <w:p>
            <w:pPr>
              <w:jc w:val="center"/>
              <w:rPr>
                <w:rFonts w:ascii="楷体_GB2312" w:eastAsia="楷体_GB2312"/>
                <w:b/>
                <w:bCs/>
              </w:rPr>
            </w:pPr>
          </w:p>
        </w:tc>
        <w:tc>
          <w:tcPr>
            <w:tcW w:w="1974" w:type="dxa"/>
            <w:gridSpan w:val="2"/>
            <w:vMerge w:val="restart"/>
            <w:noWrap w:val="0"/>
            <w:vAlign w:val="center"/>
          </w:tcPr>
          <w:p>
            <w:pPr>
              <w:jc w:val="center"/>
              <w:rPr>
                <w:rFonts w:ascii="楷体_GB2312" w:eastAsia="楷体_GB2312"/>
                <w:b/>
                <w:bCs/>
                <w:sz w:val="24"/>
              </w:rPr>
            </w:pPr>
            <w:r>
              <w:rPr>
                <w:rFonts w:hint="eastAsia" w:ascii="楷体_GB2312" w:eastAsia="楷体_GB2312"/>
                <w:b/>
                <w:bCs/>
                <w:sz w:val="24"/>
              </w:rPr>
              <w:t>照</w:t>
            </w:r>
          </w:p>
          <w:p>
            <w:pPr>
              <w:jc w:val="center"/>
              <w:rPr>
                <w:rFonts w:ascii="楷体_GB2312" w:eastAsia="楷体_GB2312"/>
                <w:b/>
                <w:bCs/>
                <w:sz w:val="24"/>
              </w:rPr>
            </w:pPr>
          </w:p>
          <w:p>
            <w:pPr>
              <w:jc w:val="center"/>
              <w:rPr>
                <w:rFonts w:ascii="楷体_GB2312" w:eastAsia="楷体_GB2312"/>
                <w:b/>
                <w:bCs/>
              </w:rPr>
            </w:pPr>
            <w:r>
              <w:rPr>
                <w:rFonts w:hint="eastAsia" w:ascii="楷体_GB2312" w:eastAsia="楷体_GB2312"/>
                <w:b/>
                <w:bCs/>
                <w:sz w:val="24"/>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eastAsia="楷体_GB2312"/>
                <w:b/>
                <w:bCs/>
                <w:sz w:val="24"/>
              </w:rPr>
            </w:pPr>
            <w:r>
              <w:rPr>
                <w:rFonts w:hint="eastAsia" w:ascii="楷体_GB2312" w:eastAsia="楷体_GB2312"/>
                <w:b/>
                <w:bCs/>
                <w:sz w:val="24"/>
              </w:rPr>
              <w:t>民 族</w:t>
            </w:r>
          </w:p>
        </w:tc>
        <w:tc>
          <w:tcPr>
            <w:tcW w:w="1764" w:type="dxa"/>
            <w:gridSpan w:val="3"/>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sz w:val="24"/>
              </w:rPr>
            </w:pPr>
            <w:r>
              <w:rPr>
                <w:rFonts w:hint="eastAsia" w:ascii="楷体_GB2312" w:eastAsia="楷体_GB2312"/>
                <w:b/>
                <w:bCs/>
                <w:sz w:val="24"/>
              </w:rPr>
              <w:t>婚姻状况</w:t>
            </w:r>
          </w:p>
        </w:tc>
        <w:tc>
          <w:tcPr>
            <w:tcW w:w="1400" w:type="dxa"/>
            <w:gridSpan w:val="3"/>
            <w:noWrap w:val="0"/>
            <w:vAlign w:val="center"/>
          </w:tcPr>
          <w:p>
            <w:pPr>
              <w:jc w:val="center"/>
              <w:rPr>
                <w:rFonts w:ascii="楷体_GB2312" w:eastAsia="楷体_GB2312"/>
                <w:b/>
                <w:bCs/>
              </w:rPr>
            </w:pPr>
          </w:p>
        </w:tc>
        <w:tc>
          <w:tcPr>
            <w:tcW w:w="1021" w:type="dxa"/>
            <w:noWrap w:val="0"/>
            <w:vAlign w:val="center"/>
          </w:tcPr>
          <w:p>
            <w:pPr>
              <w:jc w:val="center"/>
              <w:rPr>
                <w:rFonts w:ascii="楷体_GB2312" w:eastAsia="楷体_GB2312"/>
                <w:b/>
                <w:bCs/>
                <w:sz w:val="24"/>
              </w:rPr>
            </w:pPr>
            <w:r>
              <w:rPr>
                <w:rFonts w:hint="eastAsia" w:ascii="楷体_GB2312" w:eastAsia="楷体_GB2312"/>
                <w:b/>
                <w:bCs/>
                <w:sz w:val="24"/>
              </w:rPr>
              <w:t>籍 贯</w:t>
            </w:r>
          </w:p>
        </w:tc>
        <w:tc>
          <w:tcPr>
            <w:tcW w:w="951" w:type="dxa"/>
            <w:noWrap w:val="0"/>
            <w:vAlign w:val="center"/>
          </w:tcPr>
          <w:p>
            <w:pPr>
              <w:jc w:val="center"/>
              <w:rPr>
                <w:rFonts w:ascii="楷体_GB2312" w:eastAsia="楷体_GB2312"/>
                <w:b/>
                <w:bCs/>
              </w:rPr>
            </w:pPr>
          </w:p>
        </w:tc>
        <w:tc>
          <w:tcPr>
            <w:tcW w:w="1974" w:type="dxa"/>
            <w:gridSpan w:val="2"/>
            <w:vMerge w:val="continue"/>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eastAsia="楷体_GB2312"/>
                <w:b/>
                <w:bCs/>
                <w:sz w:val="24"/>
              </w:rPr>
            </w:pPr>
            <w:r>
              <w:rPr>
                <w:rFonts w:hint="eastAsia" w:ascii="楷体_GB2312" w:eastAsia="楷体_GB2312"/>
                <w:b/>
                <w:bCs/>
                <w:sz w:val="24"/>
              </w:rPr>
              <w:t>文化程度</w:t>
            </w:r>
          </w:p>
        </w:tc>
        <w:tc>
          <w:tcPr>
            <w:tcW w:w="1764" w:type="dxa"/>
            <w:gridSpan w:val="3"/>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sz w:val="24"/>
              </w:rPr>
            </w:pPr>
            <w:r>
              <w:rPr>
                <w:rFonts w:hint="eastAsia" w:ascii="楷体_GB2312" w:eastAsia="楷体_GB2312"/>
                <w:b/>
                <w:bCs/>
                <w:sz w:val="24"/>
              </w:rPr>
              <w:t>联系电话</w:t>
            </w:r>
          </w:p>
        </w:tc>
        <w:tc>
          <w:tcPr>
            <w:tcW w:w="3372" w:type="dxa"/>
            <w:gridSpan w:val="5"/>
            <w:noWrap w:val="0"/>
            <w:vAlign w:val="center"/>
          </w:tcPr>
          <w:p>
            <w:pPr>
              <w:jc w:val="center"/>
              <w:rPr>
                <w:rFonts w:ascii="楷体_GB2312" w:eastAsia="楷体_GB2312"/>
                <w:b/>
                <w:bCs/>
              </w:rPr>
            </w:pPr>
          </w:p>
        </w:tc>
        <w:tc>
          <w:tcPr>
            <w:tcW w:w="1974" w:type="dxa"/>
            <w:gridSpan w:val="2"/>
            <w:vMerge w:val="continue"/>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624" w:hRule="atLeast"/>
          <w:jc w:val="center"/>
        </w:trPr>
        <w:tc>
          <w:tcPr>
            <w:tcW w:w="1354" w:type="dxa"/>
            <w:gridSpan w:val="3"/>
            <w:noWrap w:val="0"/>
            <w:vAlign w:val="center"/>
          </w:tcPr>
          <w:p>
            <w:pPr>
              <w:jc w:val="center"/>
              <w:rPr>
                <w:rFonts w:ascii="楷体_GB2312" w:eastAsia="楷体_GB2312"/>
                <w:b/>
                <w:bCs/>
                <w:sz w:val="24"/>
              </w:rPr>
            </w:pPr>
            <w:r>
              <w:rPr>
                <w:rFonts w:hint="eastAsia" w:ascii="楷体_GB2312" w:eastAsia="楷体_GB2312"/>
                <w:b/>
                <w:bCs/>
                <w:sz w:val="24"/>
              </w:rPr>
              <w:t>职 业</w:t>
            </w:r>
          </w:p>
        </w:tc>
        <w:tc>
          <w:tcPr>
            <w:tcW w:w="1764" w:type="dxa"/>
            <w:gridSpan w:val="3"/>
            <w:noWrap w:val="0"/>
            <w:vAlign w:val="center"/>
          </w:tcPr>
          <w:p>
            <w:pPr>
              <w:jc w:val="center"/>
              <w:rPr>
                <w:rFonts w:ascii="楷体_GB2312" w:eastAsia="楷体_GB2312"/>
                <w:b/>
                <w:bCs/>
              </w:rPr>
            </w:pPr>
          </w:p>
        </w:tc>
        <w:tc>
          <w:tcPr>
            <w:tcW w:w="1582" w:type="dxa"/>
            <w:gridSpan w:val="5"/>
            <w:noWrap w:val="0"/>
            <w:vAlign w:val="center"/>
          </w:tcPr>
          <w:p>
            <w:pPr>
              <w:spacing w:line="260" w:lineRule="exact"/>
              <w:jc w:val="center"/>
              <w:rPr>
                <w:rFonts w:ascii="楷体_GB2312" w:eastAsia="楷体_GB2312"/>
                <w:b/>
                <w:bCs/>
                <w:sz w:val="24"/>
              </w:rPr>
            </w:pPr>
            <w:r>
              <w:rPr>
                <w:rFonts w:hint="eastAsia" w:ascii="楷体_GB2312" w:eastAsia="楷体_GB2312"/>
                <w:b/>
                <w:bCs/>
                <w:sz w:val="24"/>
              </w:rPr>
              <w:t>工作单位</w:t>
            </w:r>
          </w:p>
          <w:p>
            <w:pPr>
              <w:spacing w:line="260" w:lineRule="exact"/>
              <w:jc w:val="center"/>
              <w:rPr>
                <w:rFonts w:ascii="楷体_GB2312" w:eastAsia="楷体_GB2312"/>
                <w:b/>
                <w:bCs/>
              </w:rPr>
            </w:pPr>
            <w:r>
              <w:rPr>
                <w:rFonts w:hint="eastAsia" w:ascii="楷体_GB2312" w:eastAsia="楷体_GB2312"/>
                <w:b/>
                <w:bCs/>
              </w:rPr>
              <w:t>（毕业院校）</w:t>
            </w:r>
          </w:p>
        </w:tc>
        <w:tc>
          <w:tcPr>
            <w:tcW w:w="3372" w:type="dxa"/>
            <w:gridSpan w:val="5"/>
            <w:noWrap w:val="0"/>
            <w:vAlign w:val="center"/>
          </w:tcPr>
          <w:p>
            <w:pPr>
              <w:jc w:val="center"/>
              <w:rPr>
                <w:rFonts w:ascii="楷体_GB2312" w:eastAsia="楷体_GB2312"/>
                <w:b/>
                <w:bCs/>
              </w:rPr>
            </w:pPr>
          </w:p>
        </w:tc>
        <w:tc>
          <w:tcPr>
            <w:tcW w:w="1974" w:type="dxa"/>
            <w:gridSpan w:val="2"/>
            <w:vMerge w:val="continue"/>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tcBorders>
              <w:bottom w:val="single" w:color="auto" w:sz="8" w:space="0"/>
            </w:tcBorders>
            <w:noWrap w:val="0"/>
            <w:vAlign w:val="center"/>
          </w:tcPr>
          <w:p>
            <w:pPr>
              <w:jc w:val="center"/>
              <w:rPr>
                <w:rFonts w:ascii="楷体_GB2312" w:eastAsia="楷体_GB2312"/>
                <w:b/>
                <w:bCs/>
                <w:sz w:val="24"/>
              </w:rPr>
            </w:pPr>
            <w:r>
              <w:rPr>
                <w:rFonts w:hint="eastAsia" w:ascii="楷体_GB2312" w:eastAsia="楷体_GB2312"/>
                <w:b/>
                <w:bCs/>
                <w:sz w:val="24"/>
              </w:rPr>
              <w:t>报考职位</w:t>
            </w:r>
          </w:p>
        </w:tc>
        <w:tc>
          <w:tcPr>
            <w:tcW w:w="1764" w:type="dxa"/>
            <w:gridSpan w:val="3"/>
            <w:tcBorders>
              <w:bottom w:val="single" w:color="auto" w:sz="8" w:space="0"/>
            </w:tcBorders>
            <w:noWrap w:val="0"/>
            <w:vAlign w:val="center"/>
          </w:tcPr>
          <w:p>
            <w:pPr>
              <w:jc w:val="center"/>
              <w:rPr>
                <w:rFonts w:ascii="楷体_GB2312" w:eastAsia="楷体_GB2312"/>
                <w:b/>
                <w:bCs/>
              </w:rPr>
            </w:pPr>
          </w:p>
        </w:tc>
        <w:tc>
          <w:tcPr>
            <w:tcW w:w="1582" w:type="dxa"/>
            <w:gridSpan w:val="5"/>
            <w:tcBorders>
              <w:bottom w:val="single" w:color="auto" w:sz="8" w:space="0"/>
            </w:tcBorders>
            <w:noWrap w:val="0"/>
            <w:vAlign w:val="center"/>
          </w:tcPr>
          <w:p>
            <w:pPr>
              <w:jc w:val="center"/>
              <w:rPr>
                <w:rFonts w:ascii="楷体_GB2312" w:eastAsia="楷体_GB2312"/>
                <w:b/>
                <w:bCs/>
              </w:rPr>
            </w:pPr>
            <w:r>
              <w:rPr>
                <w:rFonts w:hint="eastAsia" w:ascii="楷体_GB2312" w:eastAsia="楷体_GB2312"/>
                <w:b/>
                <w:bCs/>
                <w:sz w:val="24"/>
              </w:rPr>
              <w:t>身份证号</w:t>
            </w:r>
          </w:p>
        </w:tc>
        <w:tc>
          <w:tcPr>
            <w:tcW w:w="3372" w:type="dxa"/>
            <w:gridSpan w:val="5"/>
            <w:tcBorders>
              <w:bottom w:val="single" w:color="auto" w:sz="8" w:space="0"/>
            </w:tcBorders>
            <w:noWrap w:val="0"/>
            <w:vAlign w:val="center"/>
          </w:tcPr>
          <w:p>
            <w:pPr>
              <w:jc w:val="center"/>
              <w:rPr>
                <w:rFonts w:ascii="楷体_GB2312" w:eastAsia="楷体_GB2312"/>
                <w:b/>
                <w:bCs/>
              </w:rPr>
            </w:pPr>
          </w:p>
        </w:tc>
        <w:tc>
          <w:tcPr>
            <w:tcW w:w="1974" w:type="dxa"/>
            <w:gridSpan w:val="2"/>
            <w:vMerge w:val="continue"/>
            <w:tcBorders>
              <w:bottom w:val="single" w:color="auto" w:sz="8" w:space="0"/>
            </w:tcBorders>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1187" w:hRule="atLeast"/>
          <w:jc w:val="center"/>
        </w:trPr>
        <w:tc>
          <w:tcPr>
            <w:tcW w:w="10046" w:type="dxa"/>
            <w:gridSpan w:val="18"/>
            <w:tcBorders>
              <w:top w:val="single" w:color="auto" w:sz="8" w:space="0"/>
              <w:bottom w:val="single" w:color="auto" w:sz="8" w:space="0"/>
            </w:tcBorders>
            <w:noWrap w:val="0"/>
            <w:vAlign w:val="center"/>
          </w:tcPr>
          <w:p>
            <w:pPr>
              <w:spacing w:line="380" w:lineRule="exact"/>
              <w:jc w:val="center"/>
              <w:rPr>
                <w:rFonts w:ascii="楷体_GB2312" w:eastAsia="楷体_GB2312"/>
                <w:b/>
                <w:bCs/>
                <w:sz w:val="24"/>
              </w:rPr>
            </w:pPr>
            <w:r>
              <w:rPr>
                <w:rFonts w:hint="eastAsia" w:ascii="楷体_GB2312" w:eastAsia="楷体_GB2312"/>
                <w:b/>
                <w:bCs/>
                <w:sz w:val="24"/>
              </w:rPr>
              <w:t>请本人如实详细填写下列项目</w:t>
            </w:r>
          </w:p>
          <w:p>
            <w:pPr>
              <w:jc w:val="center"/>
              <w:rPr>
                <w:rFonts w:ascii="楷体_GB2312" w:eastAsia="楷体_GB2312"/>
                <w:b/>
                <w:bCs/>
              </w:rPr>
            </w:pPr>
            <w:r>
              <w:rPr>
                <w:rFonts w:hint="eastAsia" w:ascii="楷体_GB2312" w:eastAsia="楷体_GB2312"/>
                <w:b/>
                <w:bCs/>
              </w:rPr>
              <w:t>（在每一项后的空格中打“</w:t>
            </w:r>
            <w:r>
              <w:rPr>
                <w:rFonts w:ascii="楷体_GB2312" w:eastAsia="楷体_GB2312"/>
                <w:b/>
                <w:bCs/>
              </w:rPr>
              <w:t>√</w:t>
            </w:r>
            <w:r>
              <w:rPr>
                <w:rFonts w:hint="eastAsia" w:ascii="楷体_GB2312" w:eastAsia="楷体_GB2312"/>
                <w:b/>
                <w:bCs/>
              </w:rPr>
              <w:t>”回答“有”或“无”，如故意隐瞒，后果自负）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tcBorders>
              <w:top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病名</w:t>
            </w:r>
          </w:p>
        </w:tc>
        <w:tc>
          <w:tcPr>
            <w:tcW w:w="895" w:type="dxa"/>
            <w:tcBorders>
              <w:top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有</w:t>
            </w:r>
          </w:p>
        </w:tc>
        <w:tc>
          <w:tcPr>
            <w:tcW w:w="869" w:type="dxa"/>
            <w:gridSpan w:val="2"/>
            <w:tcBorders>
              <w:top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无</w:t>
            </w:r>
          </w:p>
        </w:tc>
        <w:tc>
          <w:tcPr>
            <w:tcW w:w="1582" w:type="dxa"/>
            <w:gridSpan w:val="5"/>
            <w:tcBorders>
              <w:top w:val="single" w:color="auto" w:sz="8" w:space="0"/>
            </w:tcBorders>
            <w:noWrap w:val="0"/>
            <w:vAlign w:val="center"/>
          </w:tcPr>
          <w:p>
            <w:pPr>
              <w:jc w:val="center"/>
              <w:rPr>
                <w:rFonts w:ascii="楷体_GB2312" w:eastAsia="楷体_GB2312"/>
                <w:b/>
                <w:bCs/>
                <w:sz w:val="24"/>
              </w:rPr>
            </w:pPr>
            <w:r>
              <w:rPr>
                <w:rFonts w:hint="eastAsia" w:ascii="楷体_GB2312" w:hAnsi="宋体" w:eastAsia="楷体_GB2312"/>
                <w:b/>
                <w:bCs/>
                <w:sz w:val="24"/>
              </w:rPr>
              <w:t>治愈时间</w:t>
            </w:r>
          </w:p>
        </w:tc>
        <w:tc>
          <w:tcPr>
            <w:tcW w:w="1400" w:type="dxa"/>
            <w:gridSpan w:val="3"/>
            <w:tcBorders>
              <w:top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病名</w:t>
            </w:r>
          </w:p>
        </w:tc>
        <w:tc>
          <w:tcPr>
            <w:tcW w:w="1021" w:type="dxa"/>
            <w:tcBorders>
              <w:top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有</w:t>
            </w:r>
          </w:p>
        </w:tc>
        <w:tc>
          <w:tcPr>
            <w:tcW w:w="951" w:type="dxa"/>
            <w:tcBorders>
              <w:top w:val="single" w:color="auto" w:sz="8" w:space="0"/>
            </w:tcBorders>
            <w:noWrap w:val="0"/>
            <w:vAlign w:val="center"/>
          </w:tcPr>
          <w:p>
            <w:pPr>
              <w:jc w:val="center"/>
              <w:rPr>
                <w:rFonts w:ascii="楷体_GB2312" w:eastAsia="楷体_GB2312"/>
                <w:b/>
                <w:bCs/>
                <w:sz w:val="24"/>
              </w:rPr>
            </w:pPr>
            <w:r>
              <w:rPr>
                <w:rFonts w:hint="eastAsia" w:ascii="楷体_GB2312" w:hAnsi="宋体" w:eastAsia="楷体_GB2312"/>
                <w:b/>
                <w:bCs/>
                <w:sz w:val="24"/>
              </w:rPr>
              <w:t>无</w:t>
            </w:r>
          </w:p>
        </w:tc>
        <w:tc>
          <w:tcPr>
            <w:tcW w:w="1974" w:type="dxa"/>
            <w:gridSpan w:val="2"/>
            <w:tcBorders>
              <w:top w:val="single" w:color="auto" w:sz="8" w:space="0"/>
            </w:tcBorders>
            <w:noWrap w:val="0"/>
            <w:vAlign w:val="center"/>
          </w:tcPr>
          <w:p>
            <w:pPr>
              <w:jc w:val="center"/>
              <w:rPr>
                <w:rFonts w:ascii="楷体_GB2312" w:eastAsia="楷体_GB2312"/>
                <w:b/>
                <w:bCs/>
                <w:sz w:val="24"/>
              </w:rPr>
            </w:pPr>
            <w:r>
              <w:rPr>
                <w:rFonts w:hint="eastAsia" w:ascii="楷体_GB2312" w:hAnsi="宋体" w:eastAsia="楷体_GB2312"/>
                <w:b/>
                <w:bCs/>
                <w:sz w:val="24"/>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高血压病</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57" w:type="dxa"/>
              <w:right w:w="57" w:type="dxa"/>
            </w:tcMar>
            <w:vAlign w:val="center"/>
          </w:tcPr>
          <w:p>
            <w:pPr>
              <w:jc w:val="center"/>
              <w:rPr>
                <w:rFonts w:ascii="楷体_GB2312" w:hAnsi="宋体" w:eastAsia="楷体_GB2312"/>
                <w:b/>
                <w:bCs/>
                <w:sz w:val="24"/>
              </w:rPr>
            </w:pPr>
            <w:r>
              <w:rPr>
                <w:rFonts w:hint="eastAsia" w:ascii="楷体_GB2312" w:hAnsi="宋体" w:eastAsia="楷体_GB2312"/>
                <w:b/>
                <w:bCs/>
                <w:sz w:val="24"/>
              </w:rPr>
              <w:t>糖尿病</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心脏病</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甲亢</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0" w:type="dxa"/>
              <w:right w:w="0" w:type="dxa"/>
            </w:tcMar>
            <w:vAlign w:val="center"/>
          </w:tcPr>
          <w:p>
            <w:pPr>
              <w:jc w:val="center"/>
              <w:rPr>
                <w:rFonts w:ascii="楷体_GB2312" w:hAnsi="宋体" w:eastAsia="楷体_GB2312"/>
                <w:b/>
                <w:bCs/>
                <w:sz w:val="24"/>
              </w:rPr>
            </w:pPr>
            <w:r>
              <w:rPr>
                <w:rFonts w:hint="eastAsia" w:ascii="楷体_GB2312" w:hAnsi="宋体" w:eastAsia="楷体_GB2312"/>
                <w:b/>
                <w:bCs/>
                <w:sz w:val="24"/>
              </w:rPr>
              <w:t>支气管扩张</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28" w:type="dxa"/>
              <w:right w:w="28" w:type="dxa"/>
            </w:tcMar>
            <w:vAlign w:val="center"/>
          </w:tcPr>
          <w:p>
            <w:pPr>
              <w:jc w:val="center"/>
              <w:rPr>
                <w:rFonts w:ascii="楷体_GB2312" w:hAnsi="宋体" w:eastAsia="楷体_GB2312"/>
                <w:b/>
                <w:bCs/>
                <w:sz w:val="24"/>
              </w:rPr>
            </w:pPr>
            <w:r>
              <w:rPr>
                <w:rFonts w:hint="eastAsia" w:ascii="楷体_GB2312" w:hAnsi="宋体" w:eastAsia="楷体_GB2312"/>
                <w:b/>
                <w:bCs/>
                <w:sz w:val="24"/>
              </w:rPr>
              <w:t>神经官能症</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0" w:type="dxa"/>
              <w:right w:w="0" w:type="dxa"/>
            </w:tcMar>
            <w:vAlign w:val="center"/>
          </w:tcPr>
          <w:p>
            <w:pPr>
              <w:jc w:val="center"/>
              <w:rPr>
                <w:rFonts w:ascii="楷体_GB2312" w:hAnsi="宋体" w:eastAsia="楷体_GB2312"/>
                <w:b/>
                <w:bCs/>
                <w:sz w:val="24"/>
              </w:rPr>
            </w:pPr>
            <w:r>
              <w:rPr>
                <w:rFonts w:hint="eastAsia" w:ascii="楷体_GB2312" w:hAnsi="宋体" w:eastAsia="楷体_GB2312"/>
                <w:b/>
                <w:bCs/>
                <w:sz w:val="24"/>
              </w:rPr>
              <w:t>支气管哮喘</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57" w:type="dxa"/>
              <w:right w:w="57" w:type="dxa"/>
            </w:tcMar>
            <w:vAlign w:val="center"/>
          </w:tcPr>
          <w:p>
            <w:pPr>
              <w:jc w:val="center"/>
              <w:rPr>
                <w:rFonts w:ascii="楷体_GB2312" w:hAnsi="宋体" w:eastAsia="楷体_GB2312"/>
                <w:b/>
                <w:bCs/>
                <w:sz w:val="24"/>
              </w:rPr>
            </w:pPr>
            <w:r>
              <w:rPr>
                <w:rFonts w:hint="eastAsia" w:ascii="楷体_GB2312" w:hAnsi="宋体" w:eastAsia="楷体_GB2312"/>
                <w:b/>
                <w:bCs/>
                <w:sz w:val="24"/>
              </w:rPr>
              <w:t>吸毒史</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57" w:type="dxa"/>
              <w:right w:w="57" w:type="dxa"/>
            </w:tcMar>
            <w:vAlign w:val="center"/>
          </w:tcPr>
          <w:p>
            <w:pPr>
              <w:spacing w:line="300" w:lineRule="exact"/>
              <w:jc w:val="center"/>
              <w:rPr>
                <w:rFonts w:ascii="楷体_GB2312" w:hAnsi="宋体" w:eastAsia="楷体_GB2312"/>
                <w:b/>
                <w:bCs/>
                <w:sz w:val="24"/>
              </w:rPr>
            </w:pPr>
            <w:r>
              <w:rPr>
                <w:rFonts w:hint="eastAsia" w:ascii="楷体_GB2312" w:hAnsi="宋体" w:eastAsia="楷体_GB2312"/>
                <w:b/>
                <w:bCs/>
                <w:sz w:val="24"/>
              </w:rPr>
              <w:t>神经系</w:t>
            </w:r>
          </w:p>
          <w:p>
            <w:pPr>
              <w:spacing w:line="300" w:lineRule="exact"/>
              <w:jc w:val="center"/>
              <w:rPr>
                <w:rFonts w:ascii="楷体_GB2312" w:hAnsi="宋体" w:eastAsia="楷体_GB2312"/>
                <w:b/>
                <w:bCs/>
                <w:sz w:val="24"/>
              </w:rPr>
            </w:pPr>
            <w:r>
              <w:rPr>
                <w:rFonts w:hint="eastAsia" w:ascii="楷体_GB2312" w:hAnsi="宋体" w:eastAsia="楷体_GB2312"/>
                <w:b/>
                <w:bCs/>
                <w:sz w:val="24"/>
              </w:rPr>
              <w:t>统疾病</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28" w:type="dxa"/>
              <w:right w:w="28" w:type="dxa"/>
            </w:tcMar>
            <w:vAlign w:val="center"/>
          </w:tcPr>
          <w:p>
            <w:pPr>
              <w:spacing w:line="300" w:lineRule="exact"/>
              <w:jc w:val="center"/>
              <w:rPr>
                <w:rFonts w:ascii="楷体_GB2312" w:hAnsi="宋体" w:eastAsia="楷体_GB2312"/>
                <w:b/>
                <w:bCs/>
                <w:sz w:val="24"/>
              </w:rPr>
            </w:pPr>
            <w:r>
              <w:rPr>
                <w:rFonts w:hint="eastAsia" w:ascii="楷体_GB2312" w:hAnsi="宋体" w:eastAsia="楷体_GB2312"/>
                <w:b/>
                <w:bCs/>
                <w:sz w:val="24"/>
              </w:rPr>
              <w:t>严重消化系统疾病</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57" w:type="dxa"/>
              <w:right w:w="57" w:type="dxa"/>
            </w:tcMar>
            <w:vAlign w:val="center"/>
          </w:tcPr>
          <w:p>
            <w:pPr>
              <w:jc w:val="center"/>
              <w:rPr>
                <w:rFonts w:ascii="楷体_GB2312" w:hAnsi="宋体" w:eastAsia="楷体_GB2312"/>
                <w:b/>
                <w:bCs/>
                <w:sz w:val="24"/>
              </w:rPr>
            </w:pPr>
            <w:r>
              <w:rPr>
                <w:rFonts w:hint="eastAsia" w:ascii="楷体_GB2312" w:hAnsi="宋体" w:eastAsia="楷体_GB2312"/>
                <w:b/>
                <w:bCs/>
                <w:sz w:val="24"/>
              </w:rPr>
              <w:t>精神病</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结核病</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癫痫</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28" w:type="dxa"/>
              <w:right w:w="28" w:type="dxa"/>
            </w:tcMar>
            <w:vAlign w:val="center"/>
          </w:tcPr>
          <w:p>
            <w:pPr>
              <w:jc w:val="center"/>
              <w:rPr>
                <w:rFonts w:ascii="楷体_GB2312" w:hAnsi="宋体" w:eastAsia="楷体_GB2312"/>
                <w:b/>
                <w:bCs/>
                <w:sz w:val="24"/>
              </w:rPr>
            </w:pPr>
            <w:r>
              <w:rPr>
                <w:rFonts w:hint="eastAsia" w:ascii="楷体_GB2312" w:hAnsi="宋体" w:eastAsia="楷体_GB2312"/>
                <w:b/>
                <w:bCs/>
                <w:sz w:val="24"/>
              </w:rPr>
              <w:t>性病</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vAlign w:val="center"/>
          </w:tcPr>
          <w:p>
            <w:pPr>
              <w:jc w:val="center"/>
              <w:rPr>
                <w:rFonts w:ascii="楷体_GB2312" w:hAnsi="宋体" w:eastAsia="楷体_GB2312"/>
                <w:b/>
                <w:bCs/>
                <w:sz w:val="24"/>
              </w:rPr>
            </w:pPr>
            <w:r>
              <w:rPr>
                <w:rFonts w:hint="eastAsia" w:ascii="楷体_GB2312" w:hAnsi="宋体" w:eastAsia="楷体_GB2312"/>
                <w:b/>
                <w:bCs/>
                <w:sz w:val="24"/>
              </w:rPr>
              <w:t>胰腺疾病</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28" w:type="dxa"/>
              <w:right w:w="28" w:type="dxa"/>
            </w:tcMar>
            <w:vAlign w:val="center"/>
          </w:tcPr>
          <w:p>
            <w:pPr>
              <w:jc w:val="center"/>
              <w:rPr>
                <w:rFonts w:ascii="楷体_GB2312" w:hAnsi="宋体" w:eastAsia="楷体_GB2312"/>
                <w:b/>
                <w:bCs/>
                <w:sz w:val="24"/>
              </w:rPr>
            </w:pPr>
            <w:r>
              <w:rPr>
                <w:rFonts w:hint="eastAsia" w:ascii="楷体_GB2312" w:hAnsi="宋体" w:eastAsia="楷体_GB2312"/>
                <w:b/>
                <w:bCs/>
                <w:sz w:val="24"/>
              </w:rPr>
              <w:t>恶性肿瘤</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0" w:type="dxa"/>
              <w:right w:w="0" w:type="dxa"/>
            </w:tcMar>
            <w:vAlign w:val="center"/>
          </w:tcPr>
          <w:p>
            <w:pPr>
              <w:jc w:val="center"/>
              <w:rPr>
                <w:rFonts w:ascii="楷体_GB2312" w:hAnsi="宋体" w:eastAsia="楷体_GB2312"/>
                <w:b/>
                <w:bCs/>
                <w:sz w:val="24"/>
              </w:rPr>
            </w:pPr>
            <w:r>
              <w:rPr>
                <w:rFonts w:hint="eastAsia" w:ascii="楷体_GB2312" w:hAnsi="宋体" w:eastAsia="楷体_GB2312"/>
                <w:b/>
                <w:bCs/>
                <w:sz w:val="24"/>
              </w:rPr>
              <w:t>急慢性肾炎</w:t>
            </w:r>
          </w:p>
        </w:tc>
        <w:tc>
          <w:tcPr>
            <w:tcW w:w="895" w:type="dxa"/>
            <w:noWrap w:val="0"/>
            <w:vAlign w:val="center"/>
          </w:tcPr>
          <w:p>
            <w:pPr>
              <w:jc w:val="center"/>
              <w:rPr>
                <w:rFonts w:ascii="楷体_GB2312" w:eastAsia="楷体_GB2312"/>
                <w:b/>
                <w:bCs/>
              </w:rPr>
            </w:pPr>
          </w:p>
        </w:tc>
        <w:tc>
          <w:tcPr>
            <w:tcW w:w="869" w:type="dxa"/>
            <w:gridSpan w:val="2"/>
            <w:noWrap w:val="0"/>
            <w:vAlign w:val="center"/>
          </w:tcPr>
          <w:p>
            <w:pPr>
              <w:jc w:val="center"/>
              <w:rPr>
                <w:rFonts w:ascii="楷体_GB2312" w:eastAsia="楷体_GB2312"/>
                <w:b/>
                <w:bCs/>
              </w:rPr>
            </w:pPr>
          </w:p>
        </w:tc>
        <w:tc>
          <w:tcPr>
            <w:tcW w:w="1582" w:type="dxa"/>
            <w:gridSpan w:val="5"/>
            <w:noWrap w:val="0"/>
            <w:vAlign w:val="center"/>
          </w:tcPr>
          <w:p>
            <w:pPr>
              <w:jc w:val="center"/>
              <w:rPr>
                <w:rFonts w:ascii="楷体_GB2312" w:eastAsia="楷体_GB2312"/>
                <w:b/>
                <w:bCs/>
              </w:rPr>
            </w:pPr>
          </w:p>
        </w:tc>
        <w:tc>
          <w:tcPr>
            <w:tcW w:w="1400" w:type="dxa"/>
            <w:gridSpan w:val="3"/>
            <w:noWrap w:val="0"/>
            <w:tcMar>
              <w:left w:w="28" w:type="dxa"/>
              <w:right w:w="28" w:type="dxa"/>
            </w:tcMar>
            <w:vAlign w:val="center"/>
          </w:tcPr>
          <w:p>
            <w:pPr>
              <w:jc w:val="center"/>
              <w:rPr>
                <w:rFonts w:ascii="楷体_GB2312" w:hAnsi="宋体" w:eastAsia="楷体_GB2312"/>
                <w:b/>
                <w:bCs/>
                <w:sz w:val="24"/>
              </w:rPr>
            </w:pPr>
            <w:r>
              <w:rPr>
                <w:rFonts w:hint="eastAsia" w:ascii="楷体_GB2312" w:hAnsi="宋体" w:eastAsia="楷体_GB2312"/>
                <w:b/>
                <w:bCs/>
                <w:sz w:val="24"/>
              </w:rPr>
              <w:t>手术史</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noWrap w:val="0"/>
            <w:tcMar>
              <w:left w:w="0" w:type="dxa"/>
              <w:right w:w="0" w:type="dxa"/>
            </w:tcMar>
            <w:vAlign w:val="center"/>
          </w:tcPr>
          <w:p>
            <w:pPr>
              <w:jc w:val="center"/>
              <w:rPr>
                <w:rFonts w:ascii="楷体_GB2312" w:hAnsi="宋体" w:eastAsia="楷体_GB2312"/>
                <w:b/>
                <w:bCs/>
                <w:sz w:val="24"/>
              </w:rPr>
            </w:pPr>
            <w:r>
              <w:rPr>
                <w:rFonts w:hint="eastAsia" w:ascii="楷体_GB2312" w:hAnsi="宋体" w:eastAsia="楷体_GB2312"/>
                <w:b/>
                <w:bCs/>
                <w:sz w:val="24"/>
              </w:rPr>
              <w:t>急慢性肝炎</w:t>
            </w:r>
          </w:p>
        </w:tc>
        <w:tc>
          <w:tcPr>
            <w:tcW w:w="895" w:type="dxa"/>
            <w:noWrap w:val="0"/>
            <w:vAlign w:val="top"/>
          </w:tcPr>
          <w:p>
            <w:pPr>
              <w:jc w:val="center"/>
              <w:rPr>
                <w:rFonts w:ascii="楷体_GB2312" w:eastAsia="楷体_GB2312"/>
                <w:b/>
                <w:bCs/>
              </w:rPr>
            </w:pPr>
          </w:p>
        </w:tc>
        <w:tc>
          <w:tcPr>
            <w:tcW w:w="869" w:type="dxa"/>
            <w:gridSpan w:val="2"/>
            <w:noWrap w:val="0"/>
            <w:vAlign w:val="top"/>
          </w:tcPr>
          <w:p>
            <w:pPr>
              <w:jc w:val="center"/>
              <w:rPr>
                <w:rFonts w:ascii="楷体_GB2312" w:eastAsia="楷体_GB2312"/>
                <w:b/>
                <w:bCs/>
              </w:rPr>
            </w:pPr>
          </w:p>
        </w:tc>
        <w:tc>
          <w:tcPr>
            <w:tcW w:w="1582" w:type="dxa"/>
            <w:gridSpan w:val="5"/>
            <w:noWrap w:val="0"/>
            <w:vAlign w:val="top"/>
          </w:tcPr>
          <w:p>
            <w:pPr>
              <w:jc w:val="center"/>
              <w:rPr>
                <w:rFonts w:ascii="楷体_GB2312" w:eastAsia="楷体_GB2312"/>
                <w:b/>
                <w:bCs/>
              </w:rPr>
            </w:pPr>
          </w:p>
        </w:tc>
        <w:tc>
          <w:tcPr>
            <w:tcW w:w="1400" w:type="dxa"/>
            <w:gridSpan w:val="3"/>
            <w:noWrap w:val="0"/>
            <w:tcMar>
              <w:left w:w="28" w:type="dxa"/>
              <w:right w:w="28" w:type="dxa"/>
            </w:tcMar>
            <w:vAlign w:val="center"/>
          </w:tcPr>
          <w:p>
            <w:pPr>
              <w:jc w:val="center"/>
              <w:rPr>
                <w:rFonts w:ascii="楷体_GB2312" w:hAnsi="宋体" w:eastAsia="楷体_GB2312"/>
                <w:b/>
                <w:bCs/>
                <w:sz w:val="24"/>
              </w:rPr>
            </w:pPr>
            <w:r>
              <w:rPr>
                <w:rFonts w:hint="eastAsia" w:ascii="楷体_GB2312" w:hAnsi="宋体" w:eastAsia="楷体_GB2312"/>
                <w:b/>
                <w:bCs/>
                <w:sz w:val="24"/>
              </w:rPr>
              <w:t>严重外伤史</w:t>
            </w:r>
          </w:p>
        </w:tc>
        <w:tc>
          <w:tcPr>
            <w:tcW w:w="1021" w:type="dxa"/>
            <w:noWrap w:val="0"/>
            <w:vAlign w:val="center"/>
          </w:tcPr>
          <w:p>
            <w:pPr>
              <w:jc w:val="center"/>
              <w:rPr>
                <w:rFonts w:ascii="楷体_GB2312" w:hAnsi="宋体" w:eastAsia="楷体_GB2312"/>
                <w:b/>
                <w:bCs/>
                <w:sz w:val="24"/>
              </w:rPr>
            </w:pPr>
          </w:p>
        </w:tc>
        <w:tc>
          <w:tcPr>
            <w:tcW w:w="951" w:type="dxa"/>
            <w:noWrap w:val="0"/>
            <w:vAlign w:val="center"/>
          </w:tcPr>
          <w:p>
            <w:pPr>
              <w:jc w:val="center"/>
              <w:rPr>
                <w:rFonts w:ascii="楷体_GB2312" w:hAnsi="宋体" w:eastAsia="楷体_GB2312"/>
                <w:b/>
                <w:bCs/>
                <w:sz w:val="24"/>
              </w:rPr>
            </w:pPr>
          </w:p>
        </w:tc>
        <w:tc>
          <w:tcPr>
            <w:tcW w:w="1974" w:type="dxa"/>
            <w:gridSpan w:val="2"/>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510" w:hRule="atLeast"/>
          <w:jc w:val="center"/>
        </w:trPr>
        <w:tc>
          <w:tcPr>
            <w:tcW w:w="1354" w:type="dxa"/>
            <w:gridSpan w:val="3"/>
            <w:tcBorders>
              <w:bottom w:val="single" w:color="auto" w:sz="8" w:space="0"/>
            </w:tcBorders>
            <w:noWrap w:val="0"/>
            <w:tcMar>
              <w:left w:w="0" w:type="dxa"/>
              <w:right w:w="0" w:type="dxa"/>
            </w:tcMar>
            <w:vAlign w:val="center"/>
          </w:tcPr>
          <w:p>
            <w:pPr>
              <w:jc w:val="center"/>
              <w:rPr>
                <w:rFonts w:ascii="楷体_GB2312" w:hAnsi="宋体" w:eastAsia="楷体_GB2312"/>
                <w:b/>
                <w:bCs/>
                <w:sz w:val="24"/>
              </w:rPr>
            </w:pPr>
            <w:r>
              <w:rPr>
                <w:rFonts w:hint="eastAsia" w:ascii="楷体_GB2312" w:hAnsi="宋体" w:eastAsia="楷体_GB2312"/>
                <w:b/>
                <w:bCs/>
                <w:sz w:val="24"/>
              </w:rPr>
              <w:t>结缔组织病</w:t>
            </w:r>
          </w:p>
        </w:tc>
        <w:tc>
          <w:tcPr>
            <w:tcW w:w="895" w:type="dxa"/>
            <w:tcBorders>
              <w:bottom w:val="single" w:color="auto" w:sz="8" w:space="0"/>
            </w:tcBorders>
            <w:noWrap w:val="0"/>
            <w:vAlign w:val="top"/>
          </w:tcPr>
          <w:p>
            <w:pPr>
              <w:jc w:val="center"/>
              <w:rPr>
                <w:rFonts w:ascii="楷体_GB2312" w:eastAsia="楷体_GB2312"/>
                <w:b/>
                <w:bCs/>
              </w:rPr>
            </w:pPr>
          </w:p>
        </w:tc>
        <w:tc>
          <w:tcPr>
            <w:tcW w:w="869" w:type="dxa"/>
            <w:gridSpan w:val="2"/>
            <w:tcBorders>
              <w:bottom w:val="single" w:color="auto" w:sz="8" w:space="0"/>
            </w:tcBorders>
            <w:noWrap w:val="0"/>
            <w:vAlign w:val="top"/>
          </w:tcPr>
          <w:p>
            <w:pPr>
              <w:jc w:val="center"/>
              <w:rPr>
                <w:rFonts w:ascii="楷体_GB2312" w:eastAsia="楷体_GB2312"/>
                <w:b/>
                <w:bCs/>
              </w:rPr>
            </w:pPr>
          </w:p>
        </w:tc>
        <w:tc>
          <w:tcPr>
            <w:tcW w:w="1582" w:type="dxa"/>
            <w:gridSpan w:val="5"/>
            <w:tcBorders>
              <w:bottom w:val="single" w:color="auto" w:sz="8" w:space="0"/>
            </w:tcBorders>
            <w:noWrap w:val="0"/>
            <w:vAlign w:val="top"/>
          </w:tcPr>
          <w:p>
            <w:pPr>
              <w:jc w:val="center"/>
              <w:rPr>
                <w:rFonts w:ascii="楷体_GB2312" w:eastAsia="楷体_GB2312"/>
                <w:b/>
                <w:bCs/>
              </w:rPr>
            </w:pPr>
          </w:p>
        </w:tc>
        <w:tc>
          <w:tcPr>
            <w:tcW w:w="1400" w:type="dxa"/>
            <w:gridSpan w:val="3"/>
            <w:tcBorders>
              <w:bottom w:val="single" w:color="auto" w:sz="8" w:space="0"/>
            </w:tcBorders>
            <w:noWrap w:val="0"/>
            <w:tcMar>
              <w:left w:w="57" w:type="dxa"/>
              <w:right w:w="57" w:type="dxa"/>
            </w:tcMar>
            <w:vAlign w:val="center"/>
          </w:tcPr>
          <w:p>
            <w:pPr>
              <w:jc w:val="center"/>
              <w:rPr>
                <w:rFonts w:ascii="楷体_GB2312" w:hAnsi="宋体" w:eastAsia="楷体_GB2312"/>
                <w:b/>
                <w:bCs/>
                <w:sz w:val="24"/>
              </w:rPr>
            </w:pPr>
            <w:r>
              <w:rPr>
                <w:rFonts w:hint="eastAsia" w:ascii="楷体_GB2312" w:hAnsi="宋体" w:eastAsia="楷体_GB2312"/>
                <w:b/>
                <w:bCs/>
                <w:sz w:val="24"/>
              </w:rPr>
              <w:t>其他</w:t>
            </w:r>
          </w:p>
        </w:tc>
        <w:tc>
          <w:tcPr>
            <w:tcW w:w="1021" w:type="dxa"/>
            <w:tcBorders>
              <w:bottom w:val="single" w:color="auto" w:sz="8" w:space="0"/>
            </w:tcBorders>
            <w:noWrap w:val="0"/>
            <w:vAlign w:val="center"/>
          </w:tcPr>
          <w:p>
            <w:pPr>
              <w:jc w:val="center"/>
              <w:rPr>
                <w:rFonts w:ascii="楷体_GB2312" w:hAnsi="宋体" w:eastAsia="楷体_GB2312"/>
                <w:b/>
                <w:bCs/>
                <w:sz w:val="24"/>
              </w:rPr>
            </w:pPr>
          </w:p>
        </w:tc>
        <w:tc>
          <w:tcPr>
            <w:tcW w:w="951" w:type="dxa"/>
            <w:tcBorders>
              <w:bottom w:val="single" w:color="auto" w:sz="8" w:space="0"/>
            </w:tcBorders>
            <w:noWrap w:val="0"/>
            <w:vAlign w:val="center"/>
          </w:tcPr>
          <w:p>
            <w:pPr>
              <w:jc w:val="center"/>
              <w:rPr>
                <w:rFonts w:ascii="楷体_GB2312" w:hAnsi="宋体" w:eastAsia="楷体_GB2312"/>
                <w:b/>
                <w:bCs/>
                <w:sz w:val="24"/>
              </w:rPr>
            </w:pPr>
          </w:p>
        </w:tc>
        <w:tc>
          <w:tcPr>
            <w:tcW w:w="1974" w:type="dxa"/>
            <w:gridSpan w:val="2"/>
            <w:tcBorders>
              <w:bottom w:val="single" w:color="auto" w:sz="8" w:space="0"/>
            </w:tcBorders>
            <w:noWrap w:val="0"/>
            <w:vAlign w:val="top"/>
          </w:tcPr>
          <w:p>
            <w:pPr>
              <w:jc w:val="center"/>
              <w:rPr>
                <w:rFonts w:ascii="楷体_GB2312"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1631" w:hRule="atLeast"/>
          <w:jc w:val="center"/>
        </w:trPr>
        <w:tc>
          <w:tcPr>
            <w:tcW w:w="1354" w:type="dxa"/>
            <w:gridSpan w:val="3"/>
            <w:tcBorders>
              <w:top w:val="single" w:color="auto" w:sz="8" w:space="0"/>
              <w:bottom w:val="single" w:color="auto" w:sz="8"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备 注</w:t>
            </w:r>
          </w:p>
        </w:tc>
        <w:tc>
          <w:tcPr>
            <w:tcW w:w="8692" w:type="dxa"/>
            <w:gridSpan w:val="15"/>
            <w:tcBorders>
              <w:top w:val="single" w:color="auto" w:sz="8" w:space="0"/>
              <w:bottom w:val="single" w:color="auto" w:sz="8" w:space="0"/>
            </w:tcBorders>
            <w:noWrap w:val="0"/>
            <w:vAlign w:val="top"/>
          </w:tcPr>
          <w:p>
            <w:pPr>
              <w:rPr>
                <w:rFonts w:ascii="楷体_GB2312"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1056" w:hRule="atLeast"/>
          <w:jc w:val="center"/>
        </w:trPr>
        <w:tc>
          <w:tcPr>
            <w:tcW w:w="10046" w:type="dxa"/>
            <w:gridSpan w:val="18"/>
            <w:tcBorders>
              <w:top w:val="single" w:color="auto" w:sz="8" w:space="0"/>
            </w:tcBorders>
            <w:noWrap w:val="0"/>
            <w:vAlign w:val="center"/>
          </w:tcPr>
          <w:p>
            <w:pPr>
              <w:rPr>
                <w:rFonts w:ascii="楷体_GB2312" w:hAnsi="宋体" w:eastAsia="楷体_GB2312"/>
                <w:b/>
                <w:bCs/>
                <w:sz w:val="24"/>
              </w:rPr>
            </w:pPr>
            <w:r>
              <w:rPr>
                <w:rFonts w:hint="eastAsia" w:ascii="楷体_GB2312" w:hAnsi="宋体" w:eastAsia="楷体_GB2312"/>
                <w:b/>
                <w:bCs/>
                <w:sz w:val="24"/>
              </w:rPr>
              <w:t>受检者</w:t>
            </w:r>
            <w:r>
              <w:rPr>
                <w:rFonts w:hint="eastAsia" w:ascii="楷体_GB2312" w:eastAsia="楷体_GB2312"/>
                <w:b/>
                <w:bCs/>
                <w:sz w:val="24"/>
              </w:rPr>
              <w:t>签字：</w:t>
            </w:r>
            <w:r>
              <w:rPr>
                <w:rFonts w:hint="eastAsia" w:ascii="楷体_GB2312" w:hAnsi="宋体" w:eastAsia="楷体_GB2312"/>
                <w:b/>
                <w:bCs/>
                <w:sz w:val="24"/>
              </w:rPr>
              <w:t xml:space="preserve">                          体检日期：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68" w:type="dxa"/>
            <w:gridSpan w:val="3"/>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身高</w:t>
            </w:r>
          </w:p>
        </w:tc>
        <w:tc>
          <w:tcPr>
            <w:tcW w:w="2110" w:type="dxa"/>
            <w:gridSpan w:val="5"/>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 xml:space="preserve">         厘米</w:t>
            </w:r>
          </w:p>
        </w:tc>
        <w:tc>
          <w:tcPr>
            <w:tcW w:w="1021" w:type="dxa"/>
            <w:gridSpan w:val="3"/>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体重</w:t>
            </w:r>
          </w:p>
        </w:tc>
        <w:tc>
          <w:tcPr>
            <w:tcW w:w="1707" w:type="dxa"/>
            <w:gridSpan w:val="4"/>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 xml:space="preserve">        公斤</w:t>
            </w:r>
          </w:p>
        </w:tc>
        <w:tc>
          <w:tcPr>
            <w:tcW w:w="1021" w:type="dxa"/>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血压</w:t>
            </w:r>
          </w:p>
        </w:tc>
        <w:tc>
          <w:tcPr>
            <w:tcW w:w="2925" w:type="dxa"/>
            <w:gridSpan w:val="3"/>
            <w:noWrap w:val="0"/>
            <w:vAlign w:val="center"/>
          </w:tcPr>
          <w:p>
            <w:pPr>
              <w:ind w:firstLine="1052" w:firstLineChars="499"/>
              <w:rPr>
                <w:rFonts w:hint="eastAsia" w:ascii="楷体_GB2312" w:hAnsi="宋体" w:eastAsia="楷体_GB2312"/>
                <w:b/>
                <w:bCs/>
              </w:rPr>
            </w:pPr>
            <w:r>
              <w:rPr>
                <w:rFonts w:hint="eastAsia" w:ascii="楷体_GB2312" w:hAnsi="宋体" w:eastAsia="楷体_GB2312"/>
                <w:b/>
                <w:bCs/>
              </w:rPr>
              <w:t xml:space="preserve">  /</w:t>
            </w:r>
            <w:r>
              <w:rPr>
                <w:rFonts w:hint="eastAsia" w:ascii="楷体_GB2312" w:eastAsia="楷体_GB2312"/>
                <w:b/>
                <w:bCs/>
                <w:sz w:val="24"/>
              </w:rPr>
              <w:t>mm Hg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652" w:type="dxa"/>
            <w:gridSpan w:val="2"/>
            <w:vMerge w:val="restart"/>
            <w:noWrap w:val="0"/>
            <w:vAlign w:val="center"/>
          </w:tcPr>
          <w:p>
            <w:pPr>
              <w:jc w:val="center"/>
              <w:rPr>
                <w:rFonts w:ascii="楷体_GB2312" w:hAnsi="宋体" w:eastAsia="楷体_GB2312"/>
                <w:b/>
                <w:bCs/>
                <w:sz w:val="28"/>
              </w:rPr>
            </w:pPr>
            <w:r>
              <w:rPr>
                <w:rFonts w:hint="eastAsia" w:ascii="楷体_GB2312" w:hAnsi="宋体" w:eastAsia="楷体_GB2312"/>
                <w:b/>
                <w:bCs/>
                <w:sz w:val="28"/>
              </w:rPr>
              <w:t>内</w:t>
            </w:r>
          </w:p>
          <w:p>
            <w:pPr>
              <w:jc w:val="center"/>
              <w:rPr>
                <w:rFonts w:ascii="楷体_GB2312" w:hAnsi="宋体" w:eastAsia="楷体_GB2312"/>
                <w:b/>
                <w:bCs/>
                <w:sz w:val="28"/>
              </w:rPr>
            </w:pPr>
          </w:p>
          <w:p>
            <w:pPr>
              <w:jc w:val="center"/>
              <w:rPr>
                <w:rFonts w:ascii="楷体_GB2312" w:hAnsi="宋体" w:eastAsia="楷体_GB2312"/>
                <w:b/>
                <w:bCs/>
                <w:sz w:val="28"/>
              </w:rPr>
            </w:pPr>
          </w:p>
          <w:p>
            <w:pPr>
              <w:jc w:val="center"/>
              <w:rPr>
                <w:rFonts w:ascii="楷体_GB2312" w:hAnsi="宋体" w:eastAsia="楷体_GB2312"/>
                <w:b/>
                <w:bCs/>
              </w:rPr>
            </w:pPr>
            <w:r>
              <w:rPr>
                <w:rFonts w:hint="eastAsia" w:ascii="楷体_GB2312" w:hAnsi="宋体" w:eastAsia="楷体_GB2312"/>
                <w:b/>
                <w:bCs/>
                <w:sz w:val="28"/>
              </w:rPr>
              <w:t>科</w:t>
            </w:r>
          </w:p>
        </w:tc>
        <w:tc>
          <w:tcPr>
            <w:tcW w:w="9400" w:type="dxa"/>
            <w:gridSpan w:val="17"/>
            <w:noWrap w:val="0"/>
            <w:tcMar>
              <w:top w:w="142" w:type="dxa"/>
            </w:tcMar>
            <w:vAlign w:val="top"/>
          </w:tcPr>
          <w:p>
            <w:pPr>
              <w:ind w:firstLine="241" w:firstLineChars="100"/>
              <w:rPr>
                <w:rFonts w:ascii="楷体_GB2312" w:hAnsi="宋体" w:eastAsia="楷体_GB2312"/>
                <w:b/>
                <w:bCs/>
                <w:sz w:val="24"/>
              </w:rPr>
            </w:pPr>
            <w:r>
              <w:rPr>
                <w:rFonts w:hint="eastAsia" w:ascii="楷体_GB2312" w:hAnsi="宋体" w:eastAsia="楷体_GB2312"/>
                <w:b/>
                <w:bCs/>
                <w:sz w:val="24"/>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心脏</w:t>
            </w:r>
          </w:p>
        </w:tc>
        <w:tc>
          <w:tcPr>
            <w:tcW w:w="3099" w:type="dxa"/>
            <w:gridSpan w:val="8"/>
            <w:noWrap w:val="0"/>
            <w:vAlign w:val="center"/>
          </w:tcPr>
          <w:p>
            <w:pPr>
              <w:spacing w:line="360" w:lineRule="exact"/>
              <w:jc w:val="left"/>
              <w:rPr>
                <w:rFonts w:ascii="楷体_GB2312" w:hAnsi="宋体" w:eastAsia="楷体_GB2312"/>
                <w:b/>
                <w:bCs/>
                <w:sz w:val="24"/>
              </w:rPr>
            </w:pPr>
            <w:r>
              <w:rPr>
                <w:rFonts w:hint="eastAsia" w:ascii="楷体_GB2312" w:hAnsi="宋体" w:eastAsia="楷体_GB2312"/>
                <w:b/>
                <w:bCs/>
                <w:sz w:val="24"/>
              </w:rPr>
              <w:t xml:space="preserve">心界                      </w:t>
            </w:r>
          </w:p>
          <w:p>
            <w:pPr>
              <w:spacing w:line="360" w:lineRule="exact"/>
              <w:rPr>
                <w:rFonts w:ascii="楷体_GB2312" w:hAnsi="宋体" w:eastAsia="楷体_GB2312"/>
                <w:b/>
                <w:bCs/>
                <w:sz w:val="24"/>
              </w:rPr>
            </w:pPr>
            <w:r>
              <w:rPr>
                <w:rFonts w:hint="eastAsia" w:ascii="楷体_GB2312" w:hAnsi="宋体" w:eastAsia="楷体_GB2312"/>
                <w:b/>
                <w:bCs/>
                <w:sz w:val="24"/>
              </w:rPr>
              <w:t>杂音</w:t>
            </w:r>
          </w:p>
        </w:tc>
        <w:tc>
          <w:tcPr>
            <w:tcW w:w="4690" w:type="dxa"/>
            <w:gridSpan w:val="5"/>
            <w:noWrap w:val="0"/>
            <w:vAlign w:val="center"/>
          </w:tcPr>
          <w:p>
            <w:pPr>
              <w:rPr>
                <w:rFonts w:ascii="楷体_GB2312" w:hAnsi="宋体" w:eastAsia="楷体_GB2312"/>
                <w:b/>
                <w:bCs/>
                <w:sz w:val="24"/>
              </w:rPr>
            </w:pPr>
            <w:r>
              <w:rPr>
                <w:rFonts w:hint="eastAsia" w:ascii="楷体_GB2312" w:hAnsi="宋体" w:eastAsia="楷体_GB2312"/>
                <w:b/>
                <w:bCs/>
                <w:sz w:val="24"/>
              </w:rPr>
              <w:t>心率          次/分   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肺</w:t>
            </w:r>
          </w:p>
        </w:tc>
        <w:tc>
          <w:tcPr>
            <w:tcW w:w="3099" w:type="dxa"/>
            <w:gridSpan w:val="8"/>
            <w:noWrap w:val="0"/>
            <w:vAlign w:val="center"/>
          </w:tcPr>
          <w:p>
            <w:pPr>
              <w:rPr>
                <w:rFonts w:ascii="楷体_GB2312" w:hAnsi="宋体" w:eastAsia="楷体_GB2312"/>
                <w:b/>
                <w:bCs/>
                <w:sz w:val="24"/>
              </w:rPr>
            </w:pPr>
          </w:p>
        </w:tc>
        <w:tc>
          <w:tcPr>
            <w:tcW w:w="1765"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腹部</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肝</w:t>
            </w:r>
          </w:p>
        </w:tc>
        <w:tc>
          <w:tcPr>
            <w:tcW w:w="3099" w:type="dxa"/>
            <w:gridSpan w:val="8"/>
            <w:noWrap w:val="0"/>
            <w:vAlign w:val="center"/>
          </w:tcPr>
          <w:p>
            <w:pPr>
              <w:rPr>
                <w:rFonts w:ascii="楷体_GB2312" w:hAnsi="宋体" w:eastAsia="楷体_GB2312"/>
                <w:b/>
                <w:bCs/>
                <w:sz w:val="24"/>
              </w:rPr>
            </w:pPr>
          </w:p>
        </w:tc>
        <w:tc>
          <w:tcPr>
            <w:tcW w:w="1765"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神经系统</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脾</w:t>
            </w:r>
          </w:p>
        </w:tc>
        <w:tc>
          <w:tcPr>
            <w:tcW w:w="3099" w:type="dxa"/>
            <w:gridSpan w:val="8"/>
            <w:noWrap w:val="0"/>
            <w:vAlign w:val="center"/>
          </w:tcPr>
          <w:p>
            <w:pPr>
              <w:rPr>
                <w:rFonts w:ascii="楷体_GB2312" w:hAnsi="宋体" w:eastAsia="楷体_GB2312"/>
                <w:b/>
                <w:bCs/>
                <w:sz w:val="24"/>
              </w:rPr>
            </w:pPr>
          </w:p>
        </w:tc>
        <w:tc>
          <w:tcPr>
            <w:tcW w:w="1765"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其他</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建议</w:t>
            </w:r>
          </w:p>
        </w:tc>
        <w:tc>
          <w:tcPr>
            <w:tcW w:w="4864" w:type="dxa"/>
            <w:gridSpan w:val="10"/>
            <w:noWrap w:val="0"/>
            <w:vAlign w:val="center"/>
          </w:tcPr>
          <w:p>
            <w:pPr>
              <w:rPr>
                <w:rFonts w:ascii="楷体_GB2312" w:hAnsi="宋体" w:eastAsia="楷体_GB2312"/>
                <w:b/>
                <w:bCs/>
                <w:sz w:val="24"/>
              </w:rPr>
            </w:pPr>
          </w:p>
        </w:tc>
        <w:tc>
          <w:tcPr>
            <w:tcW w:w="1273"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医师签字</w:t>
            </w:r>
          </w:p>
        </w:tc>
        <w:tc>
          <w:tcPr>
            <w:tcW w:w="1652" w:type="dxa"/>
            <w:noWrap w:val="0"/>
            <w:vAlign w:val="center"/>
          </w:tcPr>
          <w:p>
            <w:pPr>
              <w:rPr>
                <w:rFonts w:ascii="楷体_GB2312" w:hAnsi="宋体"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652" w:type="dxa"/>
            <w:gridSpan w:val="2"/>
            <w:vMerge w:val="restart"/>
            <w:noWrap w:val="0"/>
            <w:vAlign w:val="center"/>
          </w:tcPr>
          <w:p>
            <w:pPr>
              <w:jc w:val="center"/>
              <w:rPr>
                <w:rFonts w:ascii="楷体_GB2312" w:hAnsi="宋体" w:eastAsia="楷体_GB2312"/>
                <w:b/>
                <w:bCs/>
                <w:sz w:val="28"/>
              </w:rPr>
            </w:pPr>
            <w:r>
              <w:rPr>
                <w:rFonts w:hint="eastAsia" w:ascii="楷体_GB2312" w:hAnsi="宋体" w:eastAsia="楷体_GB2312"/>
                <w:b/>
                <w:bCs/>
                <w:sz w:val="28"/>
              </w:rPr>
              <w:t>外</w:t>
            </w:r>
          </w:p>
          <w:p>
            <w:pPr>
              <w:jc w:val="center"/>
              <w:rPr>
                <w:rFonts w:ascii="楷体_GB2312" w:hAnsi="宋体" w:eastAsia="楷体_GB2312"/>
                <w:b/>
                <w:bCs/>
                <w:sz w:val="28"/>
              </w:rPr>
            </w:pPr>
          </w:p>
          <w:p>
            <w:pPr>
              <w:jc w:val="center"/>
              <w:rPr>
                <w:rFonts w:ascii="楷体_GB2312" w:hAnsi="宋体" w:eastAsia="楷体_GB2312"/>
                <w:b/>
                <w:bCs/>
                <w:sz w:val="28"/>
              </w:rPr>
            </w:pPr>
          </w:p>
          <w:p>
            <w:pPr>
              <w:jc w:val="center"/>
              <w:rPr>
                <w:rFonts w:ascii="楷体_GB2312" w:hAnsi="宋体" w:eastAsia="楷体_GB2312"/>
                <w:b/>
                <w:bCs/>
                <w:sz w:val="24"/>
              </w:rPr>
            </w:pPr>
            <w:r>
              <w:rPr>
                <w:rFonts w:hint="eastAsia" w:ascii="楷体_GB2312" w:hAnsi="宋体" w:eastAsia="楷体_GB2312"/>
                <w:b/>
                <w:bCs/>
                <w:sz w:val="28"/>
              </w:rPr>
              <w:t>科</w:t>
            </w:r>
          </w:p>
        </w:tc>
        <w:tc>
          <w:tcPr>
            <w:tcW w:w="9400" w:type="dxa"/>
            <w:gridSpan w:val="17"/>
            <w:noWrap w:val="0"/>
            <w:tcMar>
              <w:top w:w="142" w:type="dxa"/>
            </w:tcMar>
            <w:vAlign w:val="top"/>
          </w:tcPr>
          <w:p>
            <w:pPr>
              <w:ind w:firstLine="241" w:firstLineChars="100"/>
              <w:rPr>
                <w:rFonts w:ascii="楷体_GB2312" w:hAnsi="宋体" w:eastAsia="楷体_GB2312"/>
                <w:b/>
                <w:bCs/>
                <w:sz w:val="24"/>
              </w:rPr>
            </w:pPr>
            <w:r>
              <w:rPr>
                <w:rFonts w:hint="eastAsia" w:ascii="楷体_GB2312" w:hAnsi="宋体" w:eastAsia="楷体_GB2312"/>
                <w:b/>
                <w:bCs/>
                <w:sz w:val="24"/>
              </w:rPr>
              <w:t>病史：曾做过何种手术或有无外伤史（名称及时间），目前功能如何。</w:t>
            </w:r>
          </w:p>
          <w:p>
            <w:pPr>
              <w:rPr>
                <w:rFonts w:ascii="楷体_GB2312" w:hAnsi="宋体" w:eastAsia="楷体_GB2312"/>
                <w:b/>
                <w:bCs/>
                <w:sz w:val="24"/>
              </w:rPr>
            </w:pPr>
          </w:p>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eastAsia="楷体_GB2312"/>
                <w:b/>
                <w:bCs/>
                <w:sz w:val="24"/>
              </w:rPr>
              <w:t>皮肤</w:t>
            </w:r>
          </w:p>
        </w:tc>
        <w:tc>
          <w:tcPr>
            <w:tcW w:w="3099" w:type="dxa"/>
            <w:gridSpan w:val="8"/>
            <w:noWrap w:val="0"/>
            <w:vAlign w:val="center"/>
          </w:tcPr>
          <w:p>
            <w:pPr>
              <w:jc w:val="center"/>
              <w:rPr>
                <w:rFonts w:ascii="楷体_GB2312" w:hAnsi="宋体" w:eastAsia="楷体_GB2312"/>
                <w:b/>
                <w:bCs/>
                <w:sz w:val="24"/>
              </w:rPr>
            </w:pPr>
          </w:p>
        </w:tc>
        <w:tc>
          <w:tcPr>
            <w:tcW w:w="1765" w:type="dxa"/>
            <w:gridSpan w:val="2"/>
            <w:noWrap w:val="0"/>
            <w:vAlign w:val="center"/>
          </w:tcPr>
          <w:p>
            <w:pPr>
              <w:spacing w:line="260" w:lineRule="exact"/>
              <w:jc w:val="center"/>
              <w:rPr>
                <w:rFonts w:ascii="楷体_GB2312" w:eastAsia="楷体_GB2312"/>
                <w:b/>
                <w:bCs/>
                <w:sz w:val="24"/>
              </w:rPr>
            </w:pPr>
            <w:r>
              <w:rPr>
                <w:rFonts w:hint="eastAsia" w:ascii="楷体_GB2312" w:eastAsia="楷体_GB2312"/>
                <w:b/>
                <w:bCs/>
                <w:sz w:val="24"/>
              </w:rPr>
              <w:t>浅表</w:t>
            </w:r>
          </w:p>
          <w:p>
            <w:pPr>
              <w:spacing w:line="260" w:lineRule="exact"/>
              <w:jc w:val="center"/>
              <w:rPr>
                <w:rFonts w:ascii="楷体_GB2312" w:hAnsi="宋体" w:eastAsia="楷体_GB2312"/>
                <w:b/>
                <w:bCs/>
                <w:sz w:val="24"/>
              </w:rPr>
            </w:pPr>
            <w:r>
              <w:rPr>
                <w:rFonts w:hint="eastAsia" w:ascii="楷体_GB2312" w:eastAsia="楷体_GB2312"/>
                <w:b/>
                <w:bCs/>
                <w:sz w:val="24"/>
              </w:rPr>
              <w:t>淋巴结</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spacing w:line="280" w:lineRule="exact"/>
              <w:jc w:val="center"/>
              <w:rPr>
                <w:rFonts w:ascii="楷体_GB2312" w:hAnsi="宋体" w:eastAsia="楷体_GB2312"/>
                <w:b/>
                <w:bCs/>
                <w:sz w:val="24"/>
              </w:rPr>
            </w:pPr>
            <w:r>
              <w:rPr>
                <w:rFonts w:hint="eastAsia" w:ascii="楷体_GB2312" w:hAnsi="宋体" w:eastAsia="楷体_GB2312"/>
                <w:b/>
                <w:bCs/>
                <w:sz w:val="24"/>
              </w:rPr>
              <w:t>头颅</w:t>
            </w:r>
          </w:p>
        </w:tc>
        <w:tc>
          <w:tcPr>
            <w:tcW w:w="3099" w:type="dxa"/>
            <w:gridSpan w:val="8"/>
            <w:noWrap w:val="0"/>
            <w:vAlign w:val="center"/>
          </w:tcPr>
          <w:p>
            <w:pPr>
              <w:jc w:val="center"/>
              <w:rPr>
                <w:rFonts w:ascii="楷体_GB2312" w:hAnsi="宋体" w:eastAsia="楷体_GB2312"/>
                <w:b/>
                <w:bCs/>
                <w:sz w:val="24"/>
              </w:rPr>
            </w:pPr>
          </w:p>
        </w:tc>
        <w:tc>
          <w:tcPr>
            <w:tcW w:w="1765" w:type="dxa"/>
            <w:gridSpan w:val="2"/>
            <w:noWrap w:val="0"/>
            <w:vAlign w:val="center"/>
          </w:tcPr>
          <w:p>
            <w:pPr>
              <w:jc w:val="center"/>
              <w:rPr>
                <w:rFonts w:ascii="楷体_GB2312" w:hAnsi="宋体" w:eastAsia="楷体_GB2312"/>
                <w:b/>
                <w:bCs/>
                <w:sz w:val="24"/>
              </w:rPr>
            </w:pPr>
            <w:r>
              <w:rPr>
                <w:rFonts w:hint="eastAsia" w:ascii="楷体_GB2312" w:eastAsia="楷体_GB2312"/>
                <w:b/>
                <w:bCs/>
                <w:sz w:val="24"/>
              </w:rPr>
              <w:t>甲状腺</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eastAsia="楷体_GB2312"/>
                <w:b/>
                <w:bCs/>
                <w:sz w:val="24"/>
              </w:rPr>
              <w:t>乳腺</w:t>
            </w:r>
          </w:p>
        </w:tc>
        <w:tc>
          <w:tcPr>
            <w:tcW w:w="3099" w:type="dxa"/>
            <w:gridSpan w:val="8"/>
            <w:noWrap w:val="0"/>
            <w:vAlign w:val="center"/>
          </w:tcPr>
          <w:p>
            <w:pPr>
              <w:jc w:val="center"/>
              <w:rPr>
                <w:rFonts w:ascii="楷体_GB2312" w:hAnsi="宋体" w:eastAsia="楷体_GB2312"/>
                <w:b/>
                <w:bCs/>
                <w:sz w:val="24"/>
              </w:rPr>
            </w:pPr>
          </w:p>
        </w:tc>
        <w:tc>
          <w:tcPr>
            <w:tcW w:w="1765" w:type="dxa"/>
            <w:gridSpan w:val="2"/>
            <w:noWrap w:val="0"/>
            <w:vAlign w:val="center"/>
          </w:tcPr>
          <w:p>
            <w:pPr>
              <w:spacing w:line="260" w:lineRule="exact"/>
              <w:jc w:val="center"/>
              <w:rPr>
                <w:rFonts w:ascii="楷体_GB2312" w:eastAsia="楷体_GB2312"/>
                <w:b/>
                <w:bCs/>
                <w:sz w:val="24"/>
              </w:rPr>
            </w:pPr>
            <w:r>
              <w:rPr>
                <w:rFonts w:hint="eastAsia" w:ascii="楷体_GB2312" w:eastAsia="楷体_GB2312"/>
                <w:b/>
                <w:bCs/>
                <w:sz w:val="24"/>
              </w:rPr>
              <w:t>脊柱</w:t>
            </w:r>
          </w:p>
          <w:p>
            <w:pPr>
              <w:spacing w:line="260" w:lineRule="exact"/>
              <w:jc w:val="center"/>
              <w:rPr>
                <w:rFonts w:ascii="楷体_GB2312" w:hAnsi="宋体" w:eastAsia="楷体_GB2312"/>
                <w:b/>
                <w:bCs/>
                <w:sz w:val="24"/>
              </w:rPr>
            </w:pPr>
            <w:r>
              <w:rPr>
                <w:rFonts w:hint="eastAsia" w:ascii="楷体_GB2312" w:eastAsia="楷体_GB2312"/>
                <w:b/>
                <w:bCs/>
                <w:sz w:val="24"/>
              </w:rPr>
              <w:t>四肢关节</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spacing w:line="260" w:lineRule="exact"/>
              <w:jc w:val="center"/>
              <w:rPr>
                <w:rFonts w:ascii="楷体_GB2312" w:eastAsia="楷体_GB2312"/>
                <w:b/>
                <w:bCs/>
                <w:sz w:val="24"/>
              </w:rPr>
            </w:pPr>
            <w:r>
              <w:rPr>
                <w:rFonts w:hint="eastAsia" w:ascii="楷体_GB2312" w:eastAsia="楷体_GB2312"/>
                <w:b/>
                <w:bCs/>
                <w:sz w:val="24"/>
              </w:rPr>
              <w:t>肛门</w:t>
            </w:r>
          </w:p>
          <w:p>
            <w:pPr>
              <w:spacing w:line="260" w:lineRule="exact"/>
              <w:jc w:val="center"/>
              <w:rPr>
                <w:rFonts w:ascii="楷体_GB2312" w:eastAsia="楷体_GB2312"/>
                <w:b/>
                <w:bCs/>
                <w:sz w:val="24"/>
              </w:rPr>
            </w:pPr>
            <w:r>
              <w:rPr>
                <w:rFonts w:hint="eastAsia" w:ascii="楷体_GB2312" w:eastAsia="楷体_GB2312"/>
                <w:b/>
                <w:bCs/>
                <w:sz w:val="24"/>
              </w:rPr>
              <w:t>外生殖器</w:t>
            </w:r>
          </w:p>
        </w:tc>
        <w:tc>
          <w:tcPr>
            <w:tcW w:w="3099" w:type="dxa"/>
            <w:gridSpan w:val="8"/>
            <w:noWrap w:val="0"/>
            <w:vAlign w:val="center"/>
          </w:tcPr>
          <w:p>
            <w:pPr>
              <w:jc w:val="center"/>
              <w:rPr>
                <w:rFonts w:ascii="楷体_GB2312" w:hAnsi="宋体" w:eastAsia="楷体_GB2312"/>
                <w:b/>
                <w:bCs/>
                <w:sz w:val="24"/>
              </w:rPr>
            </w:pPr>
          </w:p>
        </w:tc>
        <w:tc>
          <w:tcPr>
            <w:tcW w:w="1765" w:type="dxa"/>
            <w:gridSpan w:val="2"/>
            <w:noWrap w:val="0"/>
            <w:vAlign w:val="center"/>
          </w:tcPr>
          <w:p>
            <w:pPr>
              <w:spacing w:line="280" w:lineRule="exact"/>
              <w:jc w:val="center"/>
              <w:rPr>
                <w:rFonts w:ascii="楷体_GB2312" w:hAnsi="宋体" w:eastAsia="楷体_GB2312"/>
                <w:b/>
                <w:bCs/>
                <w:sz w:val="24"/>
              </w:rPr>
            </w:pPr>
            <w:r>
              <w:rPr>
                <w:rFonts w:hint="eastAsia" w:ascii="楷体_GB2312" w:hAnsi="宋体" w:eastAsia="楷体_GB2312"/>
                <w:b/>
                <w:bCs/>
                <w:sz w:val="24"/>
              </w:rPr>
              <w:t>其他</w:t>
            </w:r>
          </w:p>
        </w:tc>
        <w:tc>
          <w:tcPr>
            <w:tcW w:w="2925" w:type="dxa"/>
            <w:gridSpan w:val="3"/>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建议</w:t>
            </w:r>
          </w:p>
        </w:tc>
        <w:tc>
          <w:tcPr>
            <w:tcW w:w="4864" w:type="dxa"/>
            <w:gridSpan w:val="10"/>
            <w:noWrap w:val="0"/>
            <w:vAlign w:val="center"/>
          </w:tcPr>
          <w:p>
            <w:pPr>
              <w:rPr>
                <w:rFonts w:ascii="楷体_GB2312" w:hAnsi="宋体" w:eastAsia="楷体_GB2312"/>
                <w:b/>
                <w:bCs/>
                <w:sz w:val="24"/>
              </w:rPr>
            </w:pPr>
          </w:p>
        </w:tc>
        <w:tc>
          <w:tcPr>
            <w:tcW w:w="1273"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医师签字</w:t>
            </w:r>
          </w:p>
        </w:tc>
        <w:tc>
          <w:tcPr>
            <w:tcW w:w="1652" w:type="dxa"/>
            <w:noWrap w:val="0"/>
            <w:vAlign w:val="center"/>
          </w:tcPr>
          <w:p>
            <w:pPr>
              <w:rPr>
                <w:rFonts w:ascii="楷体_GB2312" w:hAnsi="宋体"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652" w:type="dxa"/>
            <w:gridSpan w:val="2"/>
            <w:vMerge w:val="restart"/>
            <w:noWrap w:val="0"/>
            <w:vAlign w:val="center"/>
          </w:tcPr>
          <w:p>
            <w:pPr>
              <w:jc w:val="center"/>
              <w:rPr>
                <w:rFonts w:ascii="楷体_GB2312" w:hAnsi="宋体" w:eastAsia="楷体_GB2312"/>
                <w:b/>
                <w:bCs/>
                <w:sz w:val="28"/>
              </w:rPr>
            </w:pPr>
            <w:r>
              <w:rPr>
                <w:rFonts w:hint="eastAsia" w:ascii="楷体_GB2312" w:hAnsi="宋体" w:eastAsia="楷体_GB2312"/>
                <w:b/>
                <w:bCs/>
                <w:sz w:val="28"/>
              </w:rPr>
              <w:t>眼</w:t>
            </w:r>
          </w:p>
          <w:p>
            <w:pPr>
              <w:jc w:val="center"/>
              <w:rPr>
                <w:rFonts w:ascii="楷体_GB2312" w:hAnsi="宋体" w:eastAsia="楷体_GB2312"/>
                <w:b/>
                <w:bCs/>
              </w:rPr>
            </w:pPr>
            <w:r>
              <w:rPr>
                <w:rFonts w:hint="eastAsia" w:ascii="楷体_GB2312" w:hAnsi="宋体" w:eastAsia="楷体_GB2312"/>
                <w:b/>
                <w:bCs/>
                <w:sz w:val="28"/>
              </w:rPr>
              <w:t>科</w:t>
            </w:r>
          </w:p>
        </w:tc>
        <w:tc>
          <w:tcPr>
            <w:tcW w:w="1611" w:type="dxa"/>
            <w:gridSpan w:val="4"/>
            <w:vMerge w:val="restart"/>
            <w:noWrap w:val="0"/>
            <w:vAlign w:val="center"/>
          </w:tcPr>
          <w:p>
            <w:pPr>
              <w:jc w:val="center"/>
              <w:rPr>
                <w:rFonts w:ascii="楷体_GB2312" w:eastAsia="楷体_GB2312"/>
                <w:b/>
                <w:bCs/>
                <w:sz w:val="24"/>
              </w:rPr>
            </w:pPr>
            <w:r>
              <w:rPr>
                <w:rFonts w:hint="eastAsia" w:ascii="楷体_GB2312" w:eastAsia="楷体_GB2312"/>
                <w:b/>
                <w:bCs/>
                <w:sz w:val="24"/>
              </w:rPr>
              <w:t>裸眼</w:t>
            </w:r>
          </w:p>
          <w:p>
            <w:pPr>
              <w:jc w:val="center"/>
              <w:rPr>
                <w:rFonts w:ascii="楷体_GB2312" w:eastAsia="楷体_GB2312"/>
                <w:b/>
                <w:bCs/>
                <w:sz w:val="24"/>
              </w:rPr>
            </w:pPr>
            <w:r>
              <w:rPr>
                <w:rFonts w:hint="eastAsia" w:ascii="楷体_GB2312" w:eastAsia="楷体_GB2312"/>
                <w:b/>
                <w:bCs/>
                <w:sz w:val="24"/>
              </w:rPr>
              <w:t>视力</w:t>
            </w:r>
          </w:p>
        </w:tc>
        <w:tc>
          <w:tcPr>
            <w:tcW w:w="1568" w:type="dxa"/>
            <w:gridSpan w:val="4"/>
            <w:tcBorders>
              <w:top w:val="single" w:color="auto" w:sz="4" w:space="0"/>
              <w:bottom w:val="single" w:color="auto" w:sz="4" w:space="0"/>
            </w:tcBorders>
            <w:noWrap w:val="0"/>
            <w:vAlign w:val="center"/>
          </w:tcPr>
          <w:p>
            <w:pPr>
              <w:rPr>
                <w:rFonts w:ascii="楷体_GB2312" w:hAnsi="宋体" w:eastAsia="楷体_GB2312"/>
                <w:b/>
                <w:bCs/>
                <w:sz w:val="24"/>
              </w:rPr>
            </w:pPr>
            <w:r>
              <w:rPr>
                <w:rFonts w:hint="eastAsia" w:ascii="楷体_GB2312" w:hAnsi="宋体" w:eastAsia="楷体_GB2312"/>
                <w:b/>
                <w:bCs/>
                <w:sz w:val="24"/>
              </w:rPr>
              <w:t>右</w:t>
            </w:r>
          </w:p>
        </w:tc>
        <w:tc>
          <w:tcPr>
            <w:tcW w:w="1531" w:type="dxa"/>
            <w:gridSpan w:val="4"/>
            <w:vMerge w:val="restart"/>
            <w:noWrap w:val="0"/>
            <w:vAlign w:val="center"/>
          </w:tcPr>
          <w:p>
            <w:pPr>
              <w:jc w:val="center"/>
              <w:rPr>
                <w:rFonts w:ascii="楷体_GB2312" w:eastAsia="楷体_GB2312"/>
                <w:b/>
                <w:bCs/>
                <w:sz w:val="24"/>
              </w:rPr>
            </w:pPr>
            <w:r>
              <w:rPr>
                <w:rFonts w:hint="eastAsia" w:ascii="楷体_GB2312" w:eastAsia="楷体_GB2312"/>
                <w:b/>
                <w:bCs/>
                <w:sz w:val="24"/>
              </w:rPr>
              <w:t>矫正</w:t>
            </w:r>
          </w:p>
          <w:p>
            <w:pPr>
              <w:jc w:val="center"/>
              <w:rPr>
                <w:rFonts w:ascii="楷体_GB2312" w:hAnsi="宋体" w:eastAsia="楷体_GB2312"/>
                <w:b/>
                <w:bCs/>
                <w:sz w:val="24"/>
              </w:rPr>
            </w:pPr>
            <w:r>
              <w:rPr>
                <w:rFonts w:hint="eastAsia" w:ascii="楷体_GB2312" w:eastAsia="楷体_GB2312"/>
                <w:b/>
                <w:bCs/>
                <w:sz w:val="24"/>
              </w:rPr>
              <w:t>视力</w:t>
            </w:r>
          </w:p>
        </w:tc>
        <w:tc>
          <w:tcPr>
            <w:tcW w:w="1765" w:type="dxa"/>
            <w:gridSpan w:val="2"/>
            <w:tcBorders>
              <w:top w:val="single" w:color="auto" w:sz="4" w:space="0"/>
              <w:bottom w:val="single" w:color="auto" w:sz="4" w:space="0"/>
            </w:tcBorders>
            <w:noWrap w:val="0"/>
            <w:vAlign w:val="center"/>
          </w:tcPr>
          <w:p>
            <w:pPr>
              <w:rPr>
                <w:rFonts w:ascii="楷体_GB2312" w:hAnsi="宋体" w:eastAsia="楷体_GB2312"/>
                <w:b/>
                <w:bCs/>
                <w:sz w:val="24"/>
              </w:rPr>
            </w:pPr>
            <w:r>
              <w:rPr>
                <w:rFonts w:hint="eastAsia" w:ascii="楷体_GB2312" w:hAnsi="宋体" w:eastAsia="楷体_GB2312"/>
                <w:b/>
                <w:bCs/>
                <w:sz w:val="24"/>
              </w:rPr>
              <w:t>右</w:t>
            </w:r>
          </w:p>
        </w:tc>
        <w:tc>
          <w:tcPr>
            <w:tcW w:w="1273" w:type="dxa"/>
            <w:gridSpan w:val="2"/>
            <w:vMerge w:val="restart"/>
            <w:noWrap w:val="0"/>
            <w:tcMar>
              <w:top w:w="85" w:type="dxa"/>
            </w:tcMar>
            <w:vAlign w:val="center"/>
          </w:tcPr>
          <w:p>
            <w:pPr>
              <w:jc w:val="center"/>
              <w:rPr>
                <w:rFonts w:ascii="楷体_GB2312" w:hAnsi="宋体" w:eastAsia="楷体_GB2312"/>
                <w:b/>
                <w:bCs/>
                <w:sz w:val="24"/>
              </w:rPr>
            </w:pPr>
            <w:r>
              <w:rPr>
                <w:rFonts w:hint="eastAsia" w:ascii="楷体_GB2312" w:hAnsi="宋体" w:eastAsia="楷体_GB2312"/>
                <w:b/>
                <w:bCs/>
                <w:sz w:val="24"/>
              </w:rPr>
              <w:t>医师签字</w:t>
            </w:r>
          </w:p>
        </w:tc>
        <w:tc>
          <w:tcPr>
            <w:tcW w:w="1652" w:type="dxa"/>
            <w:vMerge w:val="restart"/>
            <w:noWrap w:val="0"/>
            <w:vAlign w:val="center"/>
          </w:tcPr>
          <w:p>
            <w:pPr>
              <w:jc w:val="cente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652" w:type="dxa"/>
            <w:gridSpan w:val="2"/>
            <w:vMerge w:val="continue"/>
            <w:noWrap w:val="0"/>
            <w:vAlign w:val="center"/>
          </w:tcPr>
          <w:p>
            <w:pPr>
              <w:jc w:val="center"/>
              <w:rPr>
                <w:rFonts w:ascii="楷体_GB2312" w:hAnsi="宋体" w:eastAsia="楷体_GB2312"/>
                <w:b/>
                <w:bCs/>
                <w:sz w:val="28"/>
              </w:rPr>
            </w:pPr>
          </w:p>
        </w:tc>
        <w:tc>
          <w:tcPr>
            <w:tcW w:w="1611" w:type="dxa"/>
            <w:gridSpan w:val="4"/>
            <w:vMerge w:val="continue"/>
            <w:tcBorders>
              <w:bottom w:val="single" w:color="auto" w:sz="4" w:space="0"/>
            </w:tcBorders>
            <w:noWrap w:val="0"/>
            <w:vAlign w:val="center"/>
          </w:tcPr>
          <w:p>
            <w:pPr>
              <w:rPr>
                <w:rFonts w:ascii="楷体_GB2312" w:hAnsi="宋体" w:eastAsia="楷体_GB2312"/>
                <w:b/>
                <w:bCs/>
                <w:sz w:val="24"/>
              </w:rPr>
            </w:pPr>
          </w:p>
        </w:tc>
        <w:tc>
          <w:tcPr>
            <w:tcW w:w="1568" w:type="dxa"/>
            <w:gridSpan w:val="4"/>
            <w:tcBorders>
              <w:top w:val="single" w:color="auto" w:sz="4" w:space="0"/>
              <w:bottom w:val="single" w:color="auto" w:sz="4" w:space="0"/>
            </w:tcBorders>
            <w:noWrap w:val="0"/>
            <w:vAlign w:val="center"/>
          </w:tcPr>
          <w:p>
            <w:pPr>
              <w:rPr>
                <w:rFonts w:ascii="楷体_GB2312" w:hAnsi="宋体" w:eastAsia="楷体_GB2312"/>
                <w:b/>
                <w:bCs/>
                <w:sz w:val="24"/>
              </w:rPr>
            </w:pPr>
            <w:r>
              <w:rPr>
                <w:rFonts w:hint="eastAsia" w:ascii="楷体_GB2312" w:hAnsi="宋体" w:eastAsia="楷体_GB2312"/>
                <w:b/>
                <w:bCs/>
                <w:sz w:val="24"/>
              </w:rPr>
              <w:t>左</w:t>
            </w:r>
          </w:p>
        </w:tc>
        <w:tc>
          <w:tcPr>
            <w:tcW w:w="1531" w:type="dxa"/>
            <w:gridSpan w:val="4"/>
            <w:vMerge w:val="continue"/>
            <w:tcBorders>
              <w:bottom w:val="single" w:color="auto" w:sz="4" w:space="0"/>
            </w:tcBorders>
            <w:noWrap w:val="0"/>
            <w:vAlign w:val="center"/>
          </w:tcPr>
          <w:p>
            <w:pPr>
              <w:rPr>
                <w:rFonts w:ascii="楷体_GB2312" w:hAnsi="宋体" w:eastAsia="楷体_GB2312"/>
                <w:b/>
                <w:bCs/>
                <w:sz w:val="24"/>
              </w:rPr>
            </w:pPr>
          </w:p>
        </w:tc>
        <w:tc>
          <w:tcPr>
            <w:tcW w:w="1765" w:type="dxa"/>
            <w:gridSpan w:val="2"/>
            <w:tcBorders>
              <w:bottom w:val="single" w:color="auto" w:sz="4" w:space="0"/>
            </w:tcBorders>
            <w:noWrap w:val="0"/>
            <w:vAlign w:val="center"/>
          </w:tcPr>
          <w:p>
            <w:pPr>
              <w:rPr>
                <w:rFonts w:ascii="楷体_GB2312" w:hAnsi="宋体" w:eastAsia="楷体_GB2312"/>
                <w:b/>
                <w:bCs/>
                <w:sz w:val="24"/>
              </w:rPr>
            </w:pPr>
            <w:r>
              <w:rPr>
                <w:rFonts w:hint="eastAsia" w:ascii="楷体_GB2312" w:hAnsi="宋体" w:eastAsia="楷体_GB2312"/>
                <w:b/>
                <w:bCs/>
                <w:sz w:val="24"/>
              </w:rPr>
              <w:t>左</w:t>
            </w:r>
          </w:p>
        </w:tc>
        <w:tc>
          <w:tcPr>
            <w:tcW w:w="1273" w:type="dxa"/>
            <w:gridSpan w:val="2"/>
            <w:vMerge w:val="continue"/>
            <w:tcBorders>
              <w:bottom w:val="single" w:color="auto" w:sz="4" w:space="0"/>
            </w:tcBorders>
            <w:noWrap w:val="0"/>
            <w:tcMar>
              <w:top w:w="85" w:type="dxa"/>
            </w:tcMar>
            <w:vAlign w:val="center"/>
          </w:tcPr>
          <w:p>
            <w:pPr>
              <w:jc w:val="center"/>
              <w:rPr>
                <w:rFonts w:ascii="楷体_GB2312" w:hAnsi="宋体" w:eastAsia="楷体_GB2312"/>
                <w:b/>
                <w:bCs/>
              </w:rPr>
            </w:pPr>
          </w:p>
        </w:tc>
        <w:tc>
          <w:tcPr>
            <w:tcW w:w="1652" w:type="dxa"/>
            <w:vMerge w:val="continue"/>
            <w:tcBorders>
              <w:bottom w:val="single" w:color="auto" w:sz="4" w:space="0"/>
            </w:tcBorders>
            <w:noWrap w:val="0"/>
            <w:vAlign w:val="center"/>
          </w:tcPr>
          <w:p>
            <w:pPr>
              <w:jc w:val="cente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tcBorders>
              <w:top w:val="single" w:color="auto" w:sz="4" w:space="0"/>
              <w:bottom w:val="single" w:color="auto" w:sz="4"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色觉</w:t>
            </w:r>
          </w:p>
        </w:tc>
        <w:tc>
          <w:tcPr>
            <w:tcW w:w="1561" w:type="dxa"/>
            <w:gridSpan w:val="3"/>
            <w:tcBorders>
              <w:top w:val="single" w:color="auto" w:sz="4" w:space="0"/>
              <w:bottom w:val="single" w:color="auto" w:sz="4" w:space="0"/>
            </w:tcBorders>
            <w:noWrap w:val="0"/>
            <w:vAlign w:val="center"/>
          </w:tcPr>
          <w:p>
            <w:pPr>
              <w:rPr>
                <w:rFonts w:ascii="楷体_GB2312" w:hAnsi="宋体" w:eastAsia="楷体_GB2312"/>
                <w:b/>
                <w:bCs/>
                <w:sz w:val="24"/>
              </w:rPr>
            </w:pPr>
          </w:p>
        </w:tc>
        <w:tc>
          <w:tcPr>
            <w:tcW w:w="1526" w:type="dxa"/>
            <w:gridSpan w:val="4"/>
            <w:tcBorders>
              <w:top w:val="single" w:color="auto" w:sz="4" w:space="0"/>
              <w:bottom w:val="single" w:color="auto" w:sz="4" w:space="0"/>
            </w:tcBorders>
            <w:noWrap w:val="0"/>
            <w:vAlign w:val="center"/>
          </w:tcPr>
          <w:p>
            <w:pPr>
              <w:jc w:val="center"/>
              <w:rPr>
                <w:rFonts w:ascii="楷体_GB2312" w:hAnsi="宋体" w:eastAsia="楷体_GB2312"/>
                <w:b/>
                <w:bCs/>
                <w:sz w:val="24"/>
              </w:rPr>
            </w:pPr>
            <w:r>
              <w:rPr>
                <w:rFonts w:ascii="楷体_GB2312" w:hAnsi="宋体" w:eastAsia="楷体_GB2312"/>
                <w:b/>
                <w:bCs/>
                <w:sz w:val="24"/>
              </w:rPr>
              <w:t>小瞳孔</w:t>
            </w:r>
            <w:r>
              <w:rPr>
                <w:rFonts w:hint="eastAsia" w:ascii="楷体_GB2312" w:hAnsi="宋体" w:eastAsia="楷体_GB2312"/>
                <w:b/>
                <w:bCs/>
                <w:sz w:val="24"/>
              </w:rPr>
              <w:t>眼底</w:t>
            </w:r>
          </w:p>
        </w:tc>
        <w:tc>
          <w:tcPr>
            <w:tcW w:w="4702" w:type="dxa"/>
            <w:gridSpan w:val="6"/>
            <w:tcBorders>
              <w:top w:val="single" w:color="auto" w:sz="4" w:space="0"/>
              <w:bottom w:val="single" w:color="auto" w:sz="4" w:space="0"/>
            </w:tcBorders>
            <w:noWrap w:val="0"/>
            <w:vAlign w:val="center"/>
          </w:tcPr>
          <w:p>
            <w:pPr>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tcBorders>
              <w:top w:val="single" w:color="auto" w:sz="4"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其他</w:t>
            </w:r>
          </w:p>
        </w:tc>
        <w:tc>
          <w:tcPr>
            <w:tcW w:w="7789" w:type="dxa"/>
            <w:gridSpan w:val="13"/>
            <w:tcBorders>
              <w:top w:val="single" w:color="auto" w:sz="4" w:space="0"/>
            </w:tcBorders>
            <w:noWrap w:val="0"/>
            <w:vAlign w:val="center"/>
          </w:tcPr>
          <w:p>
            <w:pPr>
              <w:ind w:firstLine="482" w:firstLineChars="200"/>
              <w:rPr>
                <w:rFonts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2" w:type="dxa"/>
            <w:gridSpan w:val="2"/>
            <w:vMerge w:val="continue"/>
            <w:noWrap w:val="0"/>
            <w:vAlign w:val="center"/>
          </w:tcPr>
          <w:p>
            <w:pPr>
              <w:rPr>
                <w:rFonts w:ascii="楷体_GB2312" w:hAnsi="宋体" w:eastAsia="楷体_GB2312"/>
                <w:b/>
                <w:bCs/>
              </w:rPr>
            </w:pPr>
          </w:p>
        </w:tc>
        <w:tc>
          <w:tcPr>
            <w:tcW w:w="1611" w:type="dxa"/>
            <w:gridSpan w:val="4"/>
            <w:noWrap w:val="0"/>
            <w:vAlign w:val="center"/>
          </w:tcPr>
          <w:p>
            <w:pPr>
              <w:jc w:val="center"/>
              <w:rPr>
                <w:rFonts w:ascii="楷体_GB2312" w:hAnsi="宋体" w:eastAsia="楷体_GB2312"/>
                <w:b/>
                <w:bCs/>
                <w:sz w:val="24"/>
              </w:rPr>
            </w:pPr>
            <w:r>
              <w:rPr>
                <w:rFonts w:hint="eastAsia" w:ascii="楷体_GB2312" w:hAnsi="宋体" w:eastAsia="楷体_GB2312"/>
                <w:b/>
                <w:bCs/>
                <w:sz w:val="24"/>
              </w:rPr>
              <w:t>建议</w:t>
            </w:r>
          </w:p>
        </w:tc>
        <w:tc>
          <w:tcPr>
            <w:tcW w:w="4864" w:type="dxa"/>
            <w:gridSpan w:val="10"/>
            <w:noWrap w:val="0"/>
            <w:vAlign w:val="center"/>
          </w:tcPr>
          <w:p>
            <w:pPr>
              <w:rPr>
                <w:rFonts w:ascii="楷体_GB2312" w:hAnsi="宋体" w:eastAsia="楷体_GB2312"/>
                <w:b/>
                <w:bCs/>
                <w:sz w:val="24"/>
              </w:rPr>
            </w:pPr>
          </w:p>
        </w:tc>
        <w:tc>
          <w:tcPr>
            <w:tcW w:w="1273" w:type="dxa"/>
            <w:gridSpan w:val="2"/>
            <w:noWrap w:val="0"/>
            <w:vAlign w:val="center"/>
          </w:tcPr>
          <w:p>
            <w:pPr>
              <w:jc w:val="center"/>
              <w:rPr>
                <w:rFonts w:ascii="楷体_GB2312" w:hAnsi="宋体" w:eastAsia="楷体_GB2312"/>
                <w:b/>
                <w:bCs/>
                <w:sz w:val="24"/>
              </w:rPr>
            </w:pPr>
            <w:r>
              <w:rPr>
                <w:rFonts w:hint="eastAsia" w:ascii="楷体_GB2312" w:hAnsi="宋体" w:eastAsia="楷体_GB2312"/>
                <w:b/>
                <w:bCs/>
                <w:sz w:val="24"/>
              </w:rPr>
              <w:t>医师签字</w:t>
            </w:r>
          </w:p>
        </w:tc>
        <w:tc>
          <w:tcPr>
            <w:tcW w:w="1652" w:type="dxa"/>
            <w:noWrap w:val="0"/>
            <w:vAlign w:val="center"/>
          </w:tcPr>
          <w:p>
            <w:pPr>
              <w:rPr>
                <w:rFonts w:ascii="楷体_GB2312" w:hAnsi="宋体" w:eastAsia="楷体_GB2312"/>
                <w:b/>
                <w:bCs/>
                <w:sz w:val="24"/>
              </w:rPr>
            </w:pPr>
          </w:p>
        </w:tc>
      </w:tr>
    </w:tbl>
    <w:p>
      <w:pPr>
        <w:adjustRightInd w:val="0"/>
        <w:snapToGrid w:val="0"/>
        <w:spacing w:line="360" w:lineRule="exact"/>
        <w:rPr>
          <w:sz w:val="24"/>
        </w:rPr>
      </w:pPr>
    </w:p>
    <w:p>
      <w:pPr>
        <w:adjustRightInd w:val="0"/>
        <w:snapToGrid w:val="0"/>
        <w:spacing w:line="360" w:lineRule="exact"/>
      </w:pPr>
    </w:p>
    <w:tbl>
      <w:tblPr>
        <w:tblStyle w:val="14"/>
        <w:tblpPr w:leftFromText="180" w:rightFromText="180" w:vertAnchor="page" w:horzAnchor="margin" w:tblpXSpec="center" w:tblpY="145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582"/>
        <w:gridCol w:w="3108"/>
        <w:gridCol w:w="1637"/>
        <w:gridCol w:w="1386"/>
        <w:gridCol w:w="1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668" w:type="dxa"/>
            <w:vMerge w:val="restart"/>
            <w:tcBorders>
              <w:top w:val="single" w:color="auto" w:sz="12" w:space="0"/>
              <w:bottom w:val="single" w:color="auto" w:sz="4" w:space="0"/>
            </w:tcBorders>
            <w:noWrap w:val="0"/>
            <w:vAlign w:val="center"/>
          </w:tcPr>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耳</w:t>
            </w: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鼻</w:t>
            </w: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喉</w:t>
            </w: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科</w:t>
            </w:r>
          </w:p>
        </w:tc>
        <w:tc>
          <w:tcPr>
            <w:tcW w:w="1582" w:type="dxa"/>
            <w:tcBorders>
              <w:top w:val="single" w:color="auto" w:sz="12" w:space="0"/>
              <w:bottom w:val="single" w:color="auto" w:sz="4" w:space="0"/>
            </w:tcBorders>
            <w:noWrap w:val="0"/>
            <w:tcMar>
              <w:top w:w="142" w:type="dxa"/>
            </w:tcMar>
            <w:vAlign w:val="center"/>
          </w:tcPr>
          <w:p>
            <w:pPr>
              <w:jc w:val="center"/>
              <w:rPr>
                <w:rFonts w:hint="eastAsia" w:ascii="楷体_GB2312" w:hAnsi="宋体" w:eastAsia="楷体_GB2312"/>
                <w:b/>
                <w:bCs/>
                <w:sz w:val="24"/>
              </w:rPr>
            </w:pPr>
            <w:r>
              <w:rPr>
                <w:rFonts w:hint="eastAsia" w:ascii="楷体_GB2312" w:hAnsi="宋体" w:eastAsia="楷体_GB2312"/>
                <w:b/>
                <w:bCs/>
                <w:sz w:val="24"/>
              </w:rPr>
              <w:t>听力</w:t>
            </w:r>
          </w:p>
        </w:tc>
        <w:tc>
          <w:tcPr>
            <w:tcW w:w="3108" w:type="dxa"/>
            <w:tcBorders>
              <w:top w:val="single" w:color="auto" w:sz="12" w:space="0"/>
              <w:bottom w:val="single" w:color="auto" w:sz="4" w:space="0"/>
            </w:tcBorders>
            <w:noWrap w:val="0"/>
            <w:vAlign w:val="center"/>
          </w:tcPr>
          <w:p>
            <w:pPr>
              <w:spacing w:line="360" w:lineRule="auto"/>
              <w:rPr>
                <w:rFonts w:hint="eastAsia" w:ascii="楷体_GB2312" w:hAnsi="宋体" w:eastAsia="楷体_GB2312"/>
                <w:b/>
                <w:bCs/>
                <w:sz w:val="24"/>
              </w:rPr>
            </w:pPr>
            <w:r>
              <w:rPr>
                <w:rFonts w:hint="eastAsia" w:ascii="楷体_GB2312" w:hAnsi="宋体" w:eastAsia="楷体_GB2312"/>
                <w:b/>
                <w:bCs/>
                <w:sz w:val="24"/>
              </w:rPr>
              <w:t>左耳</w:t>
            </w:r>
          </w:p>
          <w:p>
            <w:pPr>
              <w:spacing w:line="360" w:lineRule="auto"/>
              <w:rPr>
                <w:rFonts w:hint="eastAsia" w:ascii="楷体_GB2312" w:hAnsi="宋体" w:eastAsia="楷体_GB2312"/>
                <w:b/>
                <w:bCs/>
                <w:sz w:val="24"/>
              </w:rPr>
            </w:pPr>
            <w:r>
              <w:rPr>
                <w:rFonts w:hint="eastAsia" w:ascii="楷体_GB2312" w:hAnsi="宋体" w:eastAsia="楷体_GB2312"/>
                <w:b/>
                <w:bCs/>
                <w:sz w:val="24"/>
              </w:rPr>
              <w:t>右耳</w:t>
            </w:r>
          </w:p>
        </w:tc>
        <w:tc>
          <w:tcPr>
            <w:tcW w:w="1637" w:type="dxa"/>
            <w:tcBorders>
              <w:top w:val="single" w:color="auto" w:sz="12"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耳部</w:t>
            </w:r>
          </w:p>
        </w:tc>
        <w:tc>
          <w:tcPr>
            <w:tcW w:w="3038" w:type="dxa"/>
            <w:gridSpan w:val="2"/>
            <w:tcBorders>
              <w:top w:val="single" w:color="auto" w:sz="12" w:space="0"/>
              <w:bottom w:val="single" w:color="auto" w:sz="4" w:space="0"/>
            </w:tcBorders>
            <w:noWrap w:val="0"/>
            <w:vAlign w:val="top"/>
          </w:tcPr>
          <w:p>
            <w:pPr>
              <w:ind w:firstLine="241" w:firstLineChars="100"/>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8" w:type="dxa"/>
            <w:vMerge w:val="continue"/>
            <w:tcBorders>
              <w:top w:val="single" w:color="auto" w:sz="4" w:space="0"/>
              <w:bottom w:val="single" w:color="auto" w:sz="4" w:space="0"/>
            </w:tcBorders>
            <w:noWrap w:val="0"/>
            <w:vAlign w:val="center"/>
          </w:tcPr>
          <w:p>
            <w:pPr>
              <w:rPr>
                <w:rFonts w:hint="eastAsia" w:ascii="楷体_GB2312" w:hAnsi="宋体" w:eastAsia="楷体_GB2312"/>
                <w:b/>
                <w:bCs/>
              </w:rPr>
            </w:pPr>
          </w:p>
        </w:tc>
        <w:tc>
          <w:tcPr>
            <w:tcW w:w="1582" w:type="dxa"/>
            <w:tcBorders>
              <w:top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鼻部</w:t>
            </w:r>
          </w:p>
        </w:tc>
        <w:tc>
          <w:tcPr>
            <w:tcW w:w="3108" w:type="dxa"/>
            <w:tcBorders>
              <w:top w:val="single" w:color="auto" w:sz="4" w:space="0"/>
              <w:bottom w:val="single" w:color="auto" w:sz="4" w:space="0"/>
            </w:tcBorders>
            <w:noWrap w:val="0"/>
            <w:vAlign w:val="center"/>
          </w:tcPr>
          <w:p>
            <w:pPr>
              <w:spacing w:line="360" w:lineRule="exact"/>
              <w:rPr>
                <w:rFonts w:hint="eastAsia" w:ascii="楷体_GB2312" w:hAnsi="宋体" w:eastAsia="楷体_GB2312"/>
                <w:b/>
                <w:bCs/>
                <w:sz w:val="24"/>
              </w:rPr>
            </w:pPr>
            <w:r>
              <w:rPr>
                <w:rFonts w:hint="eastAsia" w:ascii="楷体_GB2312" w:hAnsi="宋体" w:eastAsia="楷体_GB2312"/>
                <w:b/>
                <w:bCs/>
                <w:sz w:val="24"/>
              </w:rPr>
              <w:t xml:space="preserve">                 </w:t>
            </w:r>
          </w:p>
        </w:tc>
        <w:tc>
          <w:tcPr>
            <w:tcW w:w="1637" w:type="dxa"/>
            <w:tcBorders>
              <w:top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咽部</w:t>
            </w:r>
          </w:p>
        </w:tc>
        <w:tc>
          <w:tcPr>
            <w:tcW w:w="3038" w:type="dxa"/>
            <w:gridSpan w:val="2"/>
            <w:tcBorders>
              <w:top w:val="single" w:color="auto" w:sz="4" w:space="0"/>
              <w:bottom w:val="single" w:color="auto" w:sz="4"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8" w:type="dxa"/>
            <w:vMerge w:val="continue"/>
            <w:tcBorders>
              <w:top w:val="single" w:color="auto" w:sz="4" w:space="0"/>
              <w:bottom w:val="single" w:color="auto" w:sz="4" w:space="0"/>
            </w:tcBorders>
            <w:noWrap w:val="0"/>
            <w:vAlign w:val="center"/>
          </w:tcPr>
          <w:p>
            <w:pPr>
              <w:rPr>
                <w:rFonts w:hint="eastAsia" w:ascii="楷体_GB2312" w:hAnsi="宋体" w:eastAsia="楷体_GB2312"/>
                <w:b/>
                <w:bCs/>
              </w:rPr>
            </w:pPr>
          </w:p>
        </w:tc>
        <w:tc>
          <w:tcPr>
            <w:tcW w:w="1582" w:type="dxa"/>
            <w:tcBorders>
              <w:top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喉部</w:t>
            </w:r>
          </w:p>
        </w:tc>
        <w:tc>
          <w:tcPr>
            <w:tcW w:w="3108" w:type="dxa"/>
            <w:tcBorders>
              <w:top w:val="single" w:color="auto" w:sz="4" w:space="0"/>
              <w:bottom w:val="single" w:color="auto" w:sz="4" w:space="0"/>
            </w:tcBorders>
            <w:noWrap w:val="0"/>
            <w:vAlign w:val="center"/>
          </w:tcPr>
          <w:p>
            <w:pPr>
              <w:rPr>
                <w:rFonts w:hint="eastAsia" w:ascii="楷体_GB2312" w:hAnsi="宋体" w:eastAsia="楷体_GB2312"/>
                <w:b/>
                <w:bCs/>
                <w:sz w:val="24"/>
              </w:rPr>
            </w:pPr>
          </w:p>
        </w:tc>
        <w:tc>
          <w:tcPr>
            <w:tcW w:w="1637" w:type="dxa"/>
            <w:tcBorders>
              <w:top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其他</w:t>
            </w:r>
          </w:p>
        </w:tc>
        <w:tc>
          <w:tcPr>
            <w:tcW w:w="3038" w:type="dxa"/>
            <w:gridSpan w:val="2"/>
            <w:tcBorders>
              <w:top w:val="single" w:color="auto" w:sz="4" w:space="0"/>
              <w:bottom w:val="single" w:color="auto" w:sz="4"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8" w:type="dxa"/>
            <w:vMerge w:val="continue"/>
            <w:tcBorders>
              <w:top w:val="single" w:color="auto" w:sz="4" w:space="0"/>
              <w:bottom w:val="single" w:color="auto" w:sz="4" w:space="0"/>
            </w:tcBorders>
            <w:noWrap w:val="0"/>
            <w:vAlign w:val="center"/>
          </w:tcPr>
          <w:p>
            <w:pPr>
              <w:rPr>
                <w:rFonts w:hint="eastAsia" w:ascii="楷体_GB2312" w:hAnsi="宋体" w:eastAsia="楷体_GB2312"/>
                <w:b/>
                <w:bCs/>
              </w:rPr>
            </w:pPr>
          </w:p>
        </w:tc>
        <w:tc>
          <w:tcPr>
            <w:tcW w:w="1582" w:type="dxa"/>
            <w:tcBorders>
              <w:top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建议</w:t>
            </w:r>
          </w:p>
        </w:tc>
        <w:tc>
          <w:tcPr>
            <w:tcW w:w="4745" w:type="dxa"/>
            <w:gridSpan w:val="2"/>
            <w:tcBorders>
              <w:top w:val="single" w:color="auto" w:sz="4" w:space="0"/>
              <w:bottom w:val="single" w:color="auto" w:sz="4" w:space="0"/>
              <w:right w:val="single" w:color="auto" w:sz="4" w:space="0"/>
            </w:tcBorders>
            <w:noWrap w:val="0"/>
            <w:vAlign w:val="center"/>
          </w:tcPr>
          <w:p>
            <w:pPr>
              <w:rPr>
                <w:rFonts w:hint="eastAsia" w:ascii="楷体_GB2312" w:hAnsi="宋体" w:eastAsia="楷体_GB2312"/>
                <w:b/>
                <w:bCs/>
                <w:sz w:val="24"/>
              </w:rPr>
            </w:pPr>
          </w:p>
        </w:tc>
        <w:tc>
          <w:tcPr>
            <w:tcW w:w="1386" w:type="dxa"/>
            <w:tcBorders>
              <w:top w:val="single" w:color="auto" w:sz="4" w:space="0"/>
              <w:left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医师签字</w:t>
            </w:r>
          </w:p>
        </w:tc>
        <w:tc>
          <w:tcPr>
            <w:tcW w:w="1652" w:type="dxa"/>
            <w:tcBorders>
              <w:top w:val="single" w:color="auto" w:sz="4" w:space="0"/>
              <w:bottom w:val="single" w:color="auto" w:sz="4" w:space="0"/>
            </w:tcBorders>
            <w:noWrap w:val="0"/>
            <w:vAlign w:val="center"/>
          </w:tcPr>
          <w:p>
            <w:pPr>
              <w:rPr>
                <w:rFonts w:hint="eastAsia" w:ascii="楷体_GB2312" w:hAnsi="宋体"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68" w:type="dxa"/>
            <w:vMerge w:val="restart"/>
            <w:tcBorders>
              <w:top w:val="single" w:color="auto" w:sz="4" w:space="0"/>
            </w:tcBorders>
            <w:noWrap w:val="0"/>
            <w:vAlign w:val="center"/>
          </w:tcPr>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口</w:t>
            </w: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腔</w:t>
            </w: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科</w:t>
            </w:r>
          </w:p>
        </w:tc>
        <w:tc>
          <w:tcPr>
            <w:tcW w:w="1582" w:type="dxa"/>
            <w:tcBorders>
              <w:top w:val="single" w:color="auto" w:sz="4" w:space="0"/>
            </w:tcBorders>
            <w:noWrap w:val="0"/>
            <w:tcMar>
              <w:top w:w="142" w:type="dxa"/>
            </w:tcMar>
            <w:vAlign w:val="center"/>
          </w:tcPr>
          <w:p>
            <w:pPr>
              <w:jc w:val="center"/>
              <w:rPr>
                <w:rFonts w:hint="eastAsia" w:ascii="楷体_GB2312" w:hAnsi="宋体" w:eastAsia="楷体_GB2312"/>
                <w:b/>
                <w:bCs/>
                <w:sz w:val="24"/>
              </w:rPr>
            </w:pPr>
            <w:r>
              <w:rPr>
                <w:rFonts w:hint="eastAsia" w:ascii="楷体_GB2312" w:hAnsi="宋体" w:eastAsia="楷体_GB2312"/>
                <w:b/>
                <w:bCs/>
                <w:sz w:val="24"/>
              </w:rPr>
              <w:t>唇腭舌</w:t>
            </w:r>
          </w:p>
        </w:tc>
        <w:tc>
          <w:tcPr>
            <w:tcW w:w="3108" w:type="dxa"/>
            <w:tcBorders>
              <w:top w:val="single" w:color="auto" w:sz="4" w:space="0"/>
            </w:tcBorders>
            <w:noWrap w:val="0"/>
            <w:vAlign w:val="center"/>
          </w:tcPr>
          <w:p>
            <w:pPr>
              <w:jc w:val="center"/>
              <w:rPr>
                <w:rFonts w:hint="eastAsia" w:ascii="楷体_GB2312" w:hAnsi="宋体" w:eastAsia="楷体_GB2312"/>
                <w:b/>
                <w:bCs/>
                <w:sz w:val="24"/>
              </w:rPr>
            </w:pPr>
          </w:p>
        </w:tc>
        <w:tc>
          <w:tcPr>
            <w:tcW w:w="1637" w:type="dxa"/>
            <w:tcBorders>
              <w:top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颞下颌关节</w:t>
            </w:r>
          </w:p>
        </w:tc>
        <w:tc>
          <w:tcPr>
            <w:tcW w:w="3038" w:type="dxa"/>
            <w:gridSpan w:val="2"/>
            <w:tcBorders>
              <w:top w:val="single" w:color="auto" w:sz="4" w:space="0"/>
            </w:tcBorders>
            <w:noWrap w:val="0"/>
            <w:vAlign w:val="top"/>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68" w:type="dxa"/>
            <w:vMerge w:val="continue"/>
            <w:noWrap w:val="0"/>
            <w:vAlign w:val="center"/>
          </w:tcPr>
          <w:p>
            <w:pPr>
              <w:rPr>
                <w:rFonts w:hint="eastAsia" w:ascii="楷体_GB2312" w:hAnsi="宋体" w:eastAsia="楷体_GB2312"/>
                <w:b/>
                <w:bCs/>
              </w:rPr>
            </w:pPr>
          </w:p>
        </w:tc>
        <w:tc>
          <w:tcPr>
            <w:tcW w:w="1582" w:type="dxa"/>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腮腺</w:t>
            </w:r>
          </w:p>
        </w:tc>
        <w:tc>
          <w:tcPr>
            <w:tcW w:w="3108" w:type="dxa"/>
            <w:tcBorders>
              <w:right w:val="single" w:color="auto" w:sz="4" w:space="0"/>
            </w:tcBorders>
            <w:noWrap w:val="0"/>
            <w:vAlign w:val="center"/>
          </w:tcPr>
          <w:p>
            <w:pPr>
              <w:jc w:val="center"/>
              <w:rPr>
                <w:rFonts w:hint="eastAsia" w:ascii="楷体_GB2312" w:hAnsi="宋体" w:eastAsia="楷体_GB2312"/>
                <w:b/>
                <w:bCs/>
                <w:sz w:val="24"/>
              </w:rPr>
            </w:pPr>
          </w:p>
        </w:tc>
        <w:tc>
          <w:tcPr>
            <w:tcW w:w="16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楷体_GB2312" w:eastAsia="楷体_GB2312"/>
                <w:b/>
                <w:bCs/>
                <w:sz w:val="24"/>
              </w:rPr>
            </w:pPr>
            <w:r>
              <w:rPr>
                <w:rFonts w:hint="eastAsia" w:ascii="楷体_GB2312" w:eastAsia="楷体_GB2312"/>
                <w:b/>
                <w:bCs/>
                <w:sz w:val="24"/>
              </w:rPr>
              <w:t>口腔</w:t>
            </w:r>
          </w:p>
          <w:p>
            <w:pPr>
              <w:spacing w:line="260" w:lineRule="exact"/>
              <w:jc w:val="center"/>
              <w:rPr>
                <w:rFonts w:hint="eastAsia" w:ascii="楷体_GB2312" w:hAnsi="宋体" w:eastAsia="楷体_GB2312"/>
                <w:b/>
                <w:bCs/>
                <w:sz w:val="24"/>
              </w:rPr>
            </w:pPr>
            <w:r>
              <w:rPr>
                <w:rFonts w:hint="eastAsia" w:ascii="楷体_GB2312" w:eastAsia="楷体_GB2312"/>
                <w:b/>
                <w:bCs/>
                <w:sz w:val="24"/>
              </w:rPr>
              <w:t>黏膜</w:t>
            </w:r>
          </w:p>
        </w:tc>
        <w:tc>
          <w:tcPr>
            <w:tcW w:w="3038" w:type="dxa"/>
            <w:gridSpan w:val="2"/>
            <w:tcBorders>
              <w:top w:val="single" w:color="auto" w:sz="4" w:space="0"/>
              <w:left w:val="single" w:color="auto" w:sz="4" w:space="0"/>
              <w:bottom w:val="single" w:color="auto" w:sz="4"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68" w:type="dxa"/>
            <w:vMerge w:val="continue"/>
            <w:noWrap w:val="0"/>
            <w:vAlign w:val="center"/>
          </w:tcPr>
          <w:p>
            <w:pPr>
              <w:rPr>
                <w:rFonts w:hint="eastAsia" w:ascii="楷体_GB2312" w:hAnsi="宋体" w:eastAsia="楷体_GB2312"/>
                <w:b/>
                <w:bCs/>
              </w:rPr>
            </w:pPr>
          </w:p>
        </w:tc>
        <w:tc>
          <w:tcPr>
            <w:tcW w:w="1582" w:type="dxa"/>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其他</w:t>
            </w:r>
          </w:p>
        </w:tc>
        <w:tc>
          <w:tcPr>
            <w:tcW w:w="7783" w:type="dxa"/>
            <w:gridSpan w:val="4"/>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668" w:type="dxa"/>
            <w:vMerge w:val="continue"/>
            <w:noWrap w:val="0"/>
            <w:vAlign w:val="center"/>
          </w:tcPr>
          <w:p>
            <w:pPr>
              <w:rPr>
                <w:rFonts w:hint="eastAsia" w:ascii="楷体_GB2312" w:hAnsi="宋体" w:eastAsia="楷体_GB2312"/>
                <w:b/>
                <w:bCs/>
              </w:rPr>
            </w:pPr>
          </w:p>
        </w:tc>
        <w:tc>
          <w:tcPr>
            <w:tcW w:w="1582" w:type="dxa"/>
            <w:tcBorders>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建议</w:t>
            </w:r>
          </w:p>
        </w:tc>
        <w:tc>
          <w:tcPr>
            <w:tcW w:w="4745" w:type="dxa"/>
            <w:gridSpan w:val="2"/>
            <w:tcBorders>
              <w:bottom w:val="single" w:color="auto" w:sz="4" w:space="0"/>
              <w:right w:val="single" w:color="auto" w:sz="4" w:space="0"/>
            </w:tcBorders>
            <w:noWrap w:val="0"/>
            <w:vAlign w:val="center"/>
          </w:tcPr>
          <w:p>
            <w:pPr>
              <w:rPr>
                <w:rFonts w:hint="eastAsia" w:ascii="楷体_GB2312" w:hAnsi="宋体" w:eastAsia="楷体_GB2312"/>
                <w:b/>
                <w:bCs/>
                <w:sz w:val="24"/>
              </w:rPr>
            </w:pPr>
          </w:p>
        </w:tc>
        <w:tc>
          <w:tcPr>
            <w:tcW w:w="1386" w:type="dxa"/>
            <w:tcBorders>
              <w:top w:val="single" w:color="auto" w:sz="4" w:space="0"/>
              <w:left w:val="single" w:color="auto" w:sz="4" w:space="0"/>
              <w:bottom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医师签字</w:t>
            </w:r>
          </w:p>
        </w:tc>
        <w:tc>
          <w:tcPr>
            <w:tcW w:w="1652" w:type="dxa"/>
            <w:tcBorders>
              <w:top w:val="single" w:color="auto" w:sz="4" w:space="0"/>
              <w:bottom w:val="single" w:color="auto" w:sz="4" w:space="0"/>
            </w:tcBorders>
            <w:noWrap w:val="0"/>
            <w:vAlign w:val="center"/>
          </w:tcPr>
          <w:p>
            <w:pPr>
              <w:rPr>
                <w:rFonts w:hint="eastAsia" w:ascii="楷体_GB2312" w:hAnsi="宋体" w:eastAsia="楷体_GB2312"/>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3" w:hRule="atLeast"/>
        </w:trPr>
        <w:tc>
          <w:tcPr>
            <w:tcW w:w="668" w:type="dxa"/>
            <w:vMerge w:val="restart"/>
            <w:noWrap w:val="0"/>
            <w:vAlign w:val="center"/>
          </w:tcPr>
          <w:p>
            <w:pPr>
              <w:jc w:val="center"/>
              <w:rPr>
                <w:rFonts w:hint="eastAsia" w:ascii="楷体_GB2312" w:eastAsia="楷体_GB2312"/>
                <w:b/>
                <w:bCs/>
                <w:sz w:val="28"/>
              </w:rPr>
            </w:pPr>
            <w:r>
              <w:rPr>
                <w:rFonts w:hint="eastAsia" w:ascii="楷体_GB2312" w:eastAsia="楷体_GB2312"/>
                <w:b/>
                <w:bCs/>
                <w:sz w:val="28"/>
              </w:rPr>
              <w:t>妇</w:t>
            </w:r>
          </w:p>
          <w:p>
            <w:pPr>
              <w:jc w:val="center"/>
              <w:rPr>
                <w:rFonts w:hint="eastAsia" w:ascii="楷体_GB2312" w:eastAsia="楷体_GB2312"/>
                <w:b/>
                <w:bCs/>
                <w:sz w:val="28"/>
              </w:rPr>
            </w:pPr>
          </w:p>
          <w:p>
            <w:pPr>
              <w:jc w:val="center"/>
              <w:rPr>
                <w:rFonts w:hint="eastAsia" w:ascii="楷体_GB2312" w:eastAsia="楷体_GB2312"/>
                <w:b/>
                <w:bCs/>
                <w:sz w:val="28"/>
              </w:rPr>
            </w:pPr>
          </w:p>
          <w:p>
            <w:pPr>
              <w:jc w:val="center"/>
              <w:rPr>
                <w:rFonts w:ascii="楷体_GB2312" w:hAnsi="宋体" w:eastAsia="楷体_GB2312"/>
                <w:b/>
                <w:bCs/>
                <w:sz w:val="28"/>
              </w:rPr>
            </w:pPr>
            <w:r>
              <w:rPr>
                <w:rFonts w:hint="eastAsia" w:ascii="楷体_GB2312" w:eastAsia="楷体_GB2312"/>
                <w:b/>
                <w:bCs/>
                <w:sz w:val="28"/>
              </w:rPr>
              <w:t>科</w:t>
            </w:r>
          </w:p>
          <w:p>
            <w:pPr>
              <w:rPr>
                <w:rFonts w:hint="eastAsia" w:ascii="楷体_GB2312" w:hAnsi="宋体" w:eastAsia="楷体_GB2312"/>
                <w:b/>
                <w:bCs/>
                <w:sz w:val="28"/>
              </w:rPr>
            </w:pPr>
            <w:r>
              <w:rPr>
                <w:rFonts w:hint="eastAsia" w:ascii="楷体_GB2312" w:hAnsi="宋体" w:eastAsia="楷体_GB2312"/>
                <w:b/>
                <w:bCs/>
                <w:sz w:val="24"/>
              </w:rPr>
              <w:t xml:space="preserve">                                                    </w:t>
            </w:r>
          </w:p>
        </w:tc>
        <w:tc>
          <w:tcPr>
            <w:tcW w:w="9365" w:type="dxa"/>
            <w:gridSpan w:val="5"/>
            <w:tcBorders>
              <w:top w:val="single" w:color="auto" w:sz="4" w:space="0"/>
              <w:bottom w:val="single" w:color="auto" w:sz="4" w:space="0"/>
            </w:tcBorders>
            <w:noWrap w:val="0"/>
            <w:tcMar>
              <w:top w:w="170" w:type="dxa"/>
            </w:tcMar>
            <w:vAlign w:val="top"/>
          </w:tcPr>
          <w:p>
            <w:pPr>
              <w:spacing w:line="100" w:lineRule="exact"/>
              <w:rPr>
                <w:rFonts w:hint="eastAsia" w:ascii="楷体_GB2312" w:hAnsi="宋体" w:eastAsia="楷体_GB2312"/>
                <w:b/>
                <w:bCs/>
                <w:sz w:val="24"/>
              </w:rPr>
            </w:pPr>
          </w:p>
          <w:p>
            <w:pPr>
              <w:rPr>
                <w:rFonts w:hint="eastAsia" w:ascii="楷体_GB2312" w:hAnsi="宋体" w:eastAsia="楷体_GB2312"/>
                <w:b/>
                <w:bCs/>
                <w:sz w:val="24"/>
              </w:rPr>
            </w:pPr>
            <w:r>
              <w:rPr>
                <w:rFonts w:hint="eastAsia" w:ascii="楷体_GB2312" w:hAnsi="宋体" w:eastAsia="楷体_GB2312"/>
                <w:b/>
                <w:bCs/>
                <w:sz w:val="24"/>
              </w:rPr>
              <w:t>病史/月经史：</w:t>
            </w:r>
          </w:p>
          <w:p>
            <w:pPr>
              <w:rPr>
                <w:rFonts w:hint="eastAsia" w:ascii="楷体_GB2312" w:hAnsi="宋体" w:eastAsia="楷体_GB2312"/>
                <w:b/>
                <w:bCs/>
                <w:sz w:val="24"/>
              </w:rPr>
            </w:pPr>
            <w:r>
              <w:rPr>
                <w:rFonts w:hint="eastAsia" w:ascii="楷体_GB2312" w:hAnsi="宋体" w:eastAsia="楷体_GB2312"/>
                <w:b/>
                <w:bCs/>
                <w:sz w:val="24"/>
              </w:rPr>
              <w:t>初潮：     岁  经期/周期     /     量（多、中、少）  末次月经：</w:t>
            </w:r>
          </w:p>
          <w:p>
            <w:pPr>
              <w:rPr>
                <w:rFonts w:hint="eastAsia" w:ascii="楷体_GB2312" w:hAnsi="宋体" w:eastAsia="楷体_GB2312"/>
                <w:b/>
                <w:bCs/>
              </w:rPr>
            </w:pPr>
            <w:r>
              <w:rPr>
                <w:rFonts w:hint="eastAsia" w:ascii="楷体_GB2312" w:hAnsi="宋体" w:eastAsia="楷体_GB2312"/>
                <w:b/>
                <w:bCs/>
                <w:sz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668" w:type="dxa"/>
            <w:vMerge w:val="continue"/>
            <w:noWrap w:val="0"/>
            <w:vAlign w:val="center"/>
          </w:tcPr>
          <w:p>
            <w:pPr>
              <w:rPr>
                <w:rFonts w:hint="eastAsia" w:ascii="楷体_GB2312" w:hAnsi="宋体" w:eastAsia="楷体_GB2312"/>
                <w:b/>
                <w:bCs/>
              </w:rPr>
            </w:pPr>
          </w:p>
        </w:tc>
        <w:tc>
          <w:tcPr>
            <w:tcW w:w="9365" w:type="dxa"/>
            <w:gridSpan w:val="5"/>
            <w:tcBorders>
              <w:top w:val="single" w:color="auto" w:sz="4" w:space="0"/>
              <w:bottom w:val="single" w:color="auto" w:sz="4" w:space="0"/>
              <w:right w:val="single" w:color="auto" w:sz="12" w:space="0"/>
            </w:tcBorders>
            <w:noWrap w:val="0"/>
            <w:vAlign w:val="center"/>
          </w:tcPr>
          <w:p>
            <w:pPr>
              <w:rPr>
                <w:rFonts w:hint="eastAsia" w:ascii="楷体_GB2312" w:hAnsi="宋体" w:eastAsia="楷体_GB2312"/>
                <w:b/>
                <w:bCs/>
                <w:sz w:val="24"/>
              </w:rPr>
            </w:pPr>
            <w:r>
              <w:rPr>
                <w:rFonts w:hint="eastAsia" w:ascii="楷体_GB2312" w:hAnsi="宋体" w:eastAsia="楷体_GB2312"/>
                <w:b/>
                <w:bCs/>
                <w:sz w:val="24"/>
              </w:rPr>
              <w:t>检查项目：1.已婚女性作外阴部检查、阴道窥器检查及阴道-腹部双合诊检查。</w:t>
            </w:r>
          </w:p>
          <w:p>
            <w:pPr>
              <w:rPr>
                <w:rFonts w:hint="eastAsia" w:ascii="楷体_GB2312" w:hAnsi="宋体" w:eastAsia="楷体_GB2312"/>
                <w:b/>
                <w:bCs/>
                <w:sz w:val="24"/>
              </w:rPr>
            </w:pPr>
            <w:r>
              <w:rPr>
                <w:rFonts w:hint="eastAsia" w:ascii="楷体_GB2312" w:hAnsi="宋体" w:eastAsia="楷体_GB2312"/>
                <w:b/>
                <w:bCs/>
                <w:sz w:val="24"/>
              </w:rPr>
              <w:t xml:space="preserve">          2.未婚女性作外阴部检查、直肠-腹部双合诊检查。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8" w:type="dxa"/>
            <w:vMerge w:val="continue"/>
            <w:noWrap w:val="0"/>
            <w:vAlign w:val="center"/>
          </w:tcPr>
          <w:p>
            <w:pPr>
              <w:rPr>
                <w:rFonts w:hint="eastAsia" w:ascii="楷体_GB2312" w:hAnsi="宋体" w:eastAsia="楷体_GB2312"/>
                <w:b/>
                <w:bCs/>
              </w:rPr>
            </w:pPr>
          </w:p>
        </w:tc>
        <w:tc>
          <w:tcPr>
            <w:tcW w:w="4690" w:type="dxa"/>
            <w:gridSpan w:val="2"/>
            <w:tcBorders>
              <w:top w:val="single" w:color="auto" w:sz="4" w:space="0"/>
              <w:bottom w:val="single" w:color="auto" w:sz="4" w:space="0"/>
              <w:right w:val="nil"/>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已婚女性（内诊）</w:t>
            </w:r>
          </w:p>
        </w:tc>
        <w:tc>
          <w:tcPr>
            <w:tcW w:w="4675" w:type="dxa"/>
            <w:gridSpan w:val="3"/>
            <w:tcBorders>
              <w:top w:val="single" w:color="auto" w:sz="4" w:space="0"/>
              <w:bottom w:val="single" w:color="auto" w:sz="4" w:space="0"/>
              <w:right w:val="single" w:color="auto" w:sz="12"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未婚女性（肛诊）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8" w:type="dxa"/>
            <w:vMerge w:val="continue"/>
            <w:noWrap w:val="0"/>
            <w:vAlign w:val="center"/>
          </w:tcPr>
          <w:p>
            <w:pPr>
              <w:rPr>
                <w:rFonts w:hint="eastAsia" w:ascii="楷体_GB2312" w:hAnsi="宋体" w:eastAsia="楷体_GB2312"/>
                <w:b/>
                <w:bCs/>
              </w:rPr>
            </w:pPr>
          </w:p>
        </w:tc>
        <w:tc>
          <w:tcPr>
            <w:tcW w:w="1582" w:type="dxa"/>
            <w:tcBorders>
              <w:top w:val="single" w:color="auto" w:sz="4" w:space="0"/>
              <w:right w:val="nil"/>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外阴</w:t>
            </w:r>
          </w:p>
        </w:tc>
        <w:tc>
          <w:tcPr>
            <w:tcW w:w="3108" w:type="dxa"/>
            <w:tcBorders>
              <w:top w:val="single" w:color="auto" w:sz="4" w:space="0"/>
              <w:right w:val="nil"/>
            </w:tcBorders>
            <w:noWrap w:val="0"/>
            <w:vAlign w:val="center"/>
          </w:tcPr>
          <w:p>
            <w:pPr>
              <w:rPr>
                <w:rFonts w:ascii="楷体_GB2312" w:hAnsi="宋体" w:eastAsia="楷体_GB2312"/>
                <w:b/>
                <w:bCs/>
                <w:sz w:val="24"/>
              </w:rPr>
            </w:pPr>
            <w:r>
              <w:rPr>
                <w:rFonts w:hint="eastAsia" w:ascii="楷体_GB2312" w:hAnsi="宋体" w:eastAsia="楷体_GB2312"/>
                <w:b/>
                <w:bCs/>
                <w:sz w:val="24"/>
              </w:rPr>
              <w:t xml:space="preserve">  </w:t>
            </w:r>
          </w:p>
          <w:p>
            <w:pPr>
              <w:rPr>
                <w:rFonts w:hint="eastAsia" w:ascii="楷体_GB2312" w:hAnsi="宋体" w:eastAsia="楷体_GB2312"/>
                <w:b/>
                <w:bCs/>
                <w:sz w:val="24"/>
              </w:rPr>
            </w:pPr>
            <w:r>
              <w:rPr>
                <w:rFonts w:hint="eastAsia" w:ascii="楷体_GB2312" w:hAnsi="宋体" w:eastAsia="楷体_GB2312"/>
                <w:b/>
                <w:bCs/>
                <w:sz w:val="24"/>
              </w:rPr>
              <w:t xml:space="preserve">  </w:t>
            </w:r>
          </w:p>
        </w:tc>
        <w:tc>
          <w:tcPr>
            <w:tcW w:w="1637" w:type="dxa"/>
            <w:tcBorders>
              <w:top w:val="single" w:color="auto" w:sz="4" w:space="0"/>
              <w:bottom w:val="single" w:color="auto" w:sz="4" w:space="0"/>
              <w:right w:val="single" w:color="auto" w:sz="4" w:space="0"/>
            </w:tcBorders>
            <w:noWrap w:val="0"/>
            <w:vAlign w:val="center"/>
          </w:tcPr>
          <w:p>
            <w:pPr>
              <w:jc w:val="center"/>
              <w:rPr>
                <w:rFonts w:ascii="楷体_GB2312" w:hAnsi="宋体" w:eastAsia="楷体_GB2312"/>
                <w:b/>
                <w:bCs/>
                <w:sz w:val="24"/>
              </w:rPr>
            </w:pPr>
            <w:r>
              <w:rPr>
                <w:rFonts w:hint="eastAsia" w:ascii="楷体_GB2312" w:hAnsi="宋体" w:eastAsia="楷体_GB2312"/>
                <w:b/>
                <w:bCs/>
                <w:sz w:val="24"/>
              </w:rPr>
              <w:t>外阴</w:t>
            </w:r>
          </w:p>
        </w:tc>
        <w:tc>
          <w:tcPr>
            <w:tcW w:w="3038" w:type="dxa"/>
            <w:gridSpan w:val="2"/>
            <w:tcBorders>
              <w:top w:val="single" w:color="auto" w:sz="4" w:space="0"/>
              <w:left w:val="single" w:color="auto" w:sz="4" w:space="0"/>
              <w:right w:val="single" w:color="auto" w:sz="12" w:space="0"/>
            </w:tcBorders>
            <w:noWrap w:val="0"/>
            <w:vAlign w:val="center"/>
          </w:tcPr>
          <w:p>
            <w:pPr>
              <w:rPr>
                <w:rFonts w:hint="eastAsia" w:ascii="楷体_GB2312" w:hAnsi="宋体" w:eastAsia="楷体_GB2312"/>
                <w:b/>
                <w:bCs/>
                <w:sz w:val="24"/>
              </w:rPr>
            </w:pPr>
            <w:r>
              <w:rPr>
                <w:rFonts w:hint="eastAsia" w:ascii="楷体_GB2312" w:hAnsi="宋体" w:eastAsia="楷体_GB2312"/>
                <w:b/>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8" w:type="dxa"/>
            <w:vMerge w:val="continue"/>
            <w:noWrap w:val="0"/>
            <w:vAlign w:val="center"/>
          </w:tcPr>
          <w:p>
            <w:pPr>
              <w:rPr>
                <w:rFonts w:hint="eastAsia" w:ascii="楷体_GB2312" w:hAnsi="宋体" w:eastAsia="楷体_GB2312"/>
                <w:b/>
                <w:bCs/>
              </w:rPr>
            </w:pPr>
          </w:p>
        </w:tc>
        <w:tc>
          <w:tcPr>
            <w:tcW w:w="1582" w:type="dxa"/>
            <w:tcBorders>
              <w:right w:val="nil"/>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阴道</w:t>
            </w:r>
          </w:p>
        </w:tc>
        <w:tc>
          <w:tcPr>
            <w:tcW w:w="3108" w:type="dxa"/>
            <w:tcBorders>
              <w:right w:val="nil"/>
            </w:tcBorders>
            <w:noWrap w:val="0"/>
            <w:vAlign w:val="center"/>
          </w:tcPr>
          <w:p>
            <w:pPr>
              <w:rPr>
                <w:rFonts w:hint="eastAsia" w:ascii="楷体_GB2312" w:hAnsi="宋体" w:eastAsia="楷体_GB2312"/>
                <w:b/>
                <w:bCs/>
                <w:sz w:val="24"/>
              </w:rPr>
            </w:pPr>
          </w:p>
        </w:tc>
        <w:tc>
          <w:tcPr>
            <w:tcW w:w="1637" w:type="dxa"/>
            <w:tcBorders>
              <w:top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w:t>
            </w:r>
          </w:p>
        </w:tc>
        <w:tc>
          <w:tcPr>
            <w:tcW w:w="3038" w:type="dxa"/>
            <w:gridSpan w:val="2"/>
            <w:tcBorders>
              <w:left w:val="single" w:color="auto" w:sz="4" w:space="0"/>
              <w:right w:val="single" w:color="auto" w:sz="12"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8" w:type="dxa"/>
            <w:vMerge w:val="continue"/>
            <w:noWrap w:val="0"/>
            <w:vAlign w:val="center"/>
          </w:tcPr>
          <w:p>
            <w:pPr>
              <w:rPr>
                <w:rFonts w:hint="eastAsia" w:ascii="楷体_GB2312" w:hAnsi="宋体" w:eastAsia="楷体_GB2312"/>
                <w:b/>
                <w:bCs/>
              </w:rPr>
            </w:pPr>
          </w:p>
        </w:tc>
        <w:tc>
          <w:tcPr>
            <w:tcW w:w="1582" w:type="dxa"/>
            <w:tcBorders>
              <w:right w:val="nil"/>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宫颈</w:t>
            </w:r>
          </w:p>
        </w:tc>
        <w:tc>
          <w:tcPr>
            <w:tcW w:w="3108" w:type="dxa"/>
            <w:tcBorders>
              <w:bottom w:val="single" w:color="auto" w:sz="4" w:space="0"/>
              <w:right w:val="nil"/>
            </w:tcBorders>
            <w:noWrap w:val="0"/>
            <w:vAlign w:val="center"/>
          </w:tcPr>
          <w:p>
            <w:pPr>
              <w:rPr>
                <w:rFonts w:hint="eastAsia" w:ascii="楷体_GB2312" w:hAnsi="宋体" w:eastAsia="楷体_GB2312"/>
                <w:b/>
                <w:bCs/>
                <w:sz w:val="24"/>
              </w:rPr>
            </w:pPr>
          </w:p>
        </w:tc>
        <w:tc>
          <w:tcPr>
            <w:tcW w:w="1637" w:type="dxa"/>
            <w:tcBorders>
              <w:top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w:t>
            </w:r>
          </w:p>
        </w:tc>
        <w:tc>
          <w:tcPr>
            <w:tcW w:w="3038" w:type="dxa"/>
            <w:gridSpan w:val="2"/>
            <w:tcBorders>
              <w:left w:val="single" w:color="auto" w:sz="4" w:space="0"/>
              <w:right w:val="single" w:color="auto" w:sz="12"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68" w:type="dxa"/>
            <w:vMerge w:val="continue"/>
            <w:noWrap w:val="0"/>
            <w:vAlign w:val="center"/>
          </w:tcPr>
          <w:p>
            <w:pPr>
              <w:rPr>
                <w:rFonts w:hint="eastAsia" w:ascii="楷体_GB2312" w:hAnsi="宋体" w:eastAsia="楷体_GB2312"/>
                <w:b/>
                <w:bCs/>
              </w:rPr>
            </w:pPr>
          </w:p>
        </w:tc>
        <w:tc>
          <w:tcPr>
            <w:tcW w:w="1582" w:type="dxa"/>
            <w:tcBorders>
              <w:right w:val="nil"/>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宫体</w:t>
            </w:r>
          </w:p>
        </w:tc>
        <w:tc>
          <w:tcPr>
            <w:tcW w:w="3108" w:type="dxa"/>
            <w:tcBorders>
              <w:top w:val="single" w:color="auto" w:sz="4" w:space="0"/>
              <w:bottom w:val="single" w:color="auto" w:sz="4" w:space="0"/>
              <w:right w:val="nil"/>
            </w:tcBorders>
            <w:noWrap w:val="0"/>
            <w:vAlign w:val="center"/>
          </w:tcPr>
          <w:p>
            <w:pPr>
              <w:rPr>
                <w:rFonts w:hint="eastAsia" w:ascii="楷体_GB2312" w:hAnsi="宋体" w:eastAsia="楷体_GB2312"/>
                <w:b/>
                <w:bCs/>
                <w:sz w:val="24"/>
              </w:rPr>
            </w:pPr>
          </w:p>
        </w:tc>
        <w:tc>
          <w:tcPr>
            <w:tcW w:w="1637" w:type="dxa"/>
            <w:tcBorders>
              <w:top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宫体</w:t>
            </w:r>
          </w:p>
        </w:tc>
        <w:tc>
          <w:tcPr>
            <w:tcW w:w="3038" w:type="dxa"/>
            <w:gridSpan w:val="2"/>
            <w:tcBorders>
              <w:left w:val="single" w:color="auto" w:sz="4" w:space="0"/>
              <w:right w:val="single" w:color="auto" w:sz="12" w:space="0"/>
            </w:tcBorders>
            <w:noWrap w:val="0"/>
            <w:vAlign w:val="center"/>
          </w:tcPr>
          <w:p>
            <w:pPr>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68" w:type="dxa"/>
            <w:vMerge w:val="continue"/>
            <w:noWrap w:val="0"/>
            <w:vAlign w:val="center"/>
          </w:tcPr>
          <w:p>
            <w:pPr>
              <w:rPr>
                <w:rFonts w:hint="eastAsia" w:ascii="楷体_GB2312" w:hAnsi="宋体" w:eastAsia="楷体_GB2312"/>
                <w:b/>
                <w:bCs/>
              </w:rPr>
            </w:pPr>
          </w:p>
        </w:tc>
        <w:tc>
          <w:tcPr>
            <w:tcW w:w="1582" w:type="dxa"/>
            <w:tcBorders>
              <w:bottom w:val="single" w:color="auto" w:sz="4" w:space="0"/>
              <w:right w:val="nil"/>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附件</w:t>
            </w:r>
          </w:p>
        </w:tc>
        <w:tc>
          <w:tcPr>
            <w:tcW w:w="3108" w:type="dxa"/>
            <w:tcBorders>
              <w:top w:val="single" w:color="auto" w:sz="4" w:space="0"/>
              <w:bottom w:val="single" w:color="auto" w:sz="4" w:space="0"/>
              <w:right w:val="nil"/>
            </w:tcBorders>
            <w:noWrap w:val="0"/>
            <w:vAlign w:val="center"/>
          </w:tcPr>
          <w:p>
            <w:pPr>
              <w:rPr>
                <w:rFonts w:hint="eastAsia" w:ascii="楷体_GB2312" w:hAnsi="宋体" w:eastAsia="楷体_GB2312"/>
                <w:b/>
                <w:bCs/>
                <w:sz w:val="24"/>
              </w:rPr>
            </w:pPr>
          </w:p>
        </w:tc>
        <w:tc>
          <w:tcPr>
            <w:tcW w:w="1637" w:type="dxa"/>
            <w:tcBorders>
              <w:top w:val="single" w:color="auto" w:sz="4" w:space="0"/>
              <w:bottom w:val="single" w:color="auto" w:sz="4" w:space="0"/>
              <w:right w:val="single" w:color="auto" w:sz="4" w:space="0"/>
            </w:tcBorders>
            <w:noWrap w:val="0"/>
            <w:vAlign w:val="center"/>
          </w:tcPr>
          <w:p>
            <w:pPr>
              <w:jc w:val="center"/>
              <w:rPr>
                <w:rFonts w:hint="eastAsia" w:ascii="楷体_GB2312" w:hAnsi="宋体" w:eastAsia="楷体_GB2312"/>
                <w:b/>
                <w:bCs/>
                <w:sz w:val="24"/>
              </w:rPr>
            </w:pPr>
            <w:r>
              <w:rPr>
                <w:rFonts w:hint="eastAsia" w:ascii="楷体_GB2312" w:hAnsi="宋体" w:eastAsia="楷体_GB2312"/>
                <w:b/>
                <w:bCs/>
                <w:sz w:val="24"/>
              </w:rPr>
              <w:t>附件</w:t>
            </w:r>
          </w:p>
        </w:tc>
        <w:tc>
          <w:tcPr>
            <w:tcW w:w="3038" w:type="dxa"/>
            <w:gridSpan w:val="2"/>
            <w:tcBorders>
              <w:left w:val="single" w:color="auto" w:sz="4" w:space="0"/>
              <w:bottom w:val="single" w:color="auto" w:sz="4" w:space="0"/>
              <w:right w:val="single" w:color="auto" w:sz="12" w:space="0"/>
            </w:tcBorders>
            <w:noWrap w:val="0"/>
            <w:vAlign w:val="center"/>
          </w:tcPr>
          <w:p>
            <w:pPr>
              <w:ind w:firstLine="723" w:firstLineChars="300"/>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668" w:type="dxa"/>
            <w:vMerge w:val="continue"/>
            <w:tcBorders>
              <w:bottom w:val="single" w:color="auto" w:sz="12" w:space="0"/>
            </w:tcBorders>
            <w:noWrap w:val="0"/>
            <w:vAlign w:val="center"/>
          </w:tcPr>
          <w:p>
            <w:pPr>
              <w:rPr>
                <w:rFonts w:hint="eastAsia" w:ascii="楷体_GB2312" w:hAnsi="宋体" w:eastAsia="楷体_GB2312"/>
                <w:b/>
                <w:bCs/>
              </w:rPr>
            </w:pPr>
          </w:p>
        </w:tc>
        <w:tc>
          <w:tcPr>
            <w:tcW w:w="1582" w:type="dxa"/>
            <w:tcBorders>
              <w:top w:val="single" w:color="auto" w:sz="4" w:space="0"/>
              <w:bottom w:val="single" w:color="auto" w:sz="12" w:space="0"/>
            </w:tcBorders>
            <w:noWrap w:val="0"/>
            <w:vAlign w:val="center"/>
          </w:tcPr>
          <w:p>
            <w:pPr>
              <w:jc w:val="center"/>
              <w:rPr>
                <w:rFonts w:hint="eastAsia" w:ascii="楷体_GB2312" w:hAnsi="宋体" w:eastAsia="楷体_GB2312"/>
                <w:b/>
                <w:bCs/>
              </w:rPr>
            </w:pPr>
            <w:r>
              <w:rPr>
                <w:rFonts w:hint="eastAsia" w:ascii="楷体_GB2312" w:hAnsi="宋体" w:eastAsia="楷体_GB2312"/>
                <w:b/>
                <w:bCs/>
                <w:sz w:val="24"/>
              </w:rPr>
              <w:t>建议</w:t>
            </w:r>
          </w:p>
        </w:tc>
        <w:tc>
          <w:tcPr>
            <w:tcW w:w="4745" w:type="dxa"/>
            <w:gridSpan w:val="2"/>
            <w:tcBorders>
              <w:top w:val="single" w:color="auto" w:sz="4" w:space="0"/>
              <w:bottom w:val="single" w:color="auto" w:sz="12" w:space="0"/>
            </w:tcBorders>
            <w:noWrap w:val="0"/>
            <w:vAlign w:val="center"/>
          </w:tcPr>
          <w:p>
            <w:pPr>
              <w:rPr>
                <w:rFonts w:hint="eastAsia" w:ascii="楷体_GB2312" w:hAnsi="宋体" w:eastAsia="楷体_GB2312"/>
                <w:b/>
                <w:bCs/>
              </w:rPr>
            </w:pPr>
          </w:p>
        </w:tc>
        <w:tc>
          <w:tcPr>
            <w:tcW w:w="1386" w:type="dxa"/>
            <w:tcBorders>
              <w:top w:val="single" w:color="auto" w:sz="4" w:space="0"/>
              <w:bottom w:val="single" w:color="auto" w:sz="12" w:space="0"/>
            </w:tcBorders>
            <w:noWrap w:val="0"/>
            <w:vAlign w:val="center"/>
          </w:tcPr>
          <w:p>
            <w:pPr>
              <w:jc w:val="center"/>
              <w:rPr>
                <w:rFonts w:hint="eastAsia" w:ascii="楷体_GB2312" w:hAnsi="宋体" w:eastAsia="楷体_GB2312"/>
                <w:b/>
                <w:bCs/>
              </w:rPr>
            </w:pPr>
            <w:r>
              <w:rPr>
                <w:rFonts w:hint="eastAsia" w:ascii="楷体_GB2312" w:hAnsi="宋体" w:eastAsia="楷体_GB2312"/>
                <w:b/>
                <w:bCs/>
                <w:sz w:val="24"/>
              </w:rPr>
              <w:t>医师签字</w:t>
            </w:r>
          </w:p>
        </w:tc>
        <w:tc>
          <w:tcPr>
            <w:tcW w:w="1652" w:type="dxa"/>
            <w:tcBorders>
              <w:top w:val="single" w:color="auto" w:sz="4" w:space="0"/>
              <w:bottom w:val="single" w:color="auto" w:sz="12" w:space="0"/>
            </w:tcBorders>
            <w:noWrap w:val="0"/>
            <w:vAlign w:val="center"/>
          </w:tcPr>
          <w:p>
            <w:pPr>
              <w:rPr>
                <w:rFonts w:hint="eastAsia" w:ascii="楷体_GB2312" w:hAnsi="宋体" w:eastAsia="楷体_GB2312"/>
                <w:b/>
                <w:bCs/>
              </w:rPr>
            </w:pPr>
          </w:p>
        </w:tc>
      </w:tr>
    </w:tbl>
    <w:p>
      <w:pPr>
        <w:rPr>
          <w:vanish/>
        </w:rPr>
      </w:pP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11" w:hRule="atLeast"/>
          <w:jc w:val="center"/>
        </w:trPr>
        <w:tc>
          <w:tcPr>
            <w:tcW w:w="658" w:type="dxa"/>
            <w:noWrap w:val="0"/>
            <w:tcMar>
              <w:left w:w="142" w:type="dxa"/>
            </w:tcMar>
            <w:vAlign w:val="center"/>
          </w:tcPr>
          <w:p>
            <w:pPr>
              <w:jc w:val="center"/>
              <w:rPr>
                <w:rFonts w:hint="eastAsia" w:ascii="楷体_GB2312" w:hAnsi="宋体" w:eastAsia="楷体_GB2312"/>
                <w:b/>
                <w:bCs/>
                <w:sz w:val="28"/>
              </w:rPr>
            </w:pPr>
            <w:r>
              <w:rPr>
                <w:rFonts w:hint="eastAsia" w:ascii="楷体_GB2312" w:hAnsi="宋体" w:eastAsia="楷体_GB2312"/>
                <w:b/>
                <w:bCs/>
                <w:sz w:val="28"/>
              </w:rPr>
              <w:t>心</w:t>
            </w:r>
          </w:p>
          <w:p>
            <w:pPr>
              <w:jc w:val="center"/>
              <w:rPr>
                <w:rFonts w:hint="eastAsia" w:ascii="楷体_GB2312" w:hAnsi="宋体" w:eastAsia="楷体_GB2312"/>
                <w:b/>
                <w:bCs/>
                <w:sz w:val="28"/>
              </w:rPr>
            </w:pPr>
          </w:p>
          <w:p>
            <w:pPr>
              <w:jc w:val="center"/>
              <w:rPr>
                <w:rFonts w:hint="eastAsia" w:ascii="楷体_GB2312" w:hAnsi="宋体" w:eastAsia="楷体_GB2312"/>
                <w:b/>
                <w:bCs/>
                <w:sz w:val="28"/>
              </w:rPr>
            </w:pPr>
            <w:r>
              <w:rPr>
                <w:rFonts w:hint="eastAsia" w:ascii="楷体_GB2312" w:hAnsi="宋体" w:eastAsia="楷体_GB2312"/>
                <w:b/>
                <w:bCs/>
                <w:sz w:val="28"/>
              </w:rPr>
              <w:t>电</w:t>
            </w:r>
          </w:p>
          <w:p>
            <w:pPr>
              <w:spacing w:line="500" w:lineRule="exact"/>
              <w:jc w:val="center"/>
              <w:rPr>
                <w:rFonts w:hint="eastAsia" w:ascii="楷体_GB2312" w:hAnsi="宋体" w:eastAsia="楷体_GB2312"/>
                <w:b/>
                <w:bCs/>
                <w:sz w:val="28"/>
              </w:rPr>
            </w:pPr>
          </w:p>
          <w:p>
            <w:pPr>
              <w:spacing w:line="500" w:lineRule="exact"/>
              <w:jc w:val="center"/>
              <w:rPr>
                <w:rFonts w:hint="eastAsia" w:ascii="楷体_GB2312" w:hAnsi="宋体" w:eastAsia="楷体_GB2312"/>
                <w:b/>
                <w:bCs/>
                <w:sz w:val="28"/>
              </w:rPr>
            </w:pPr>
            <w:r>
              <w:rPr>
                <w:rFonts w:hint="eastAsia" w:ascii="楷体_GB2312" w:hAnsi="宋体" w:eastAsia="楷体_GB2312"/>
                <w:b/>
                <w:bCs/>
                <w:sz w:val="28"/>
              </w:rPr>
              <w:t>图</w:t>
            </w:r>
          </w:p>
        </w:tc>
        <w:tc>
          <w:tcPr>
            <w:tcW w:w="9408" w:type="dxa"/>
            <w:noWrap w:val="0"/>
            <w:tcMar>
              <w:top w:w="142" w:type="dxa"/>
              <w:left w:w="142" w:type="dxa"/>
            </w:tcMar>
            <w:vAlign w:val="center"/>
          </w:tcPr>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r>
              <w:rPr>
                <w:rFonts w:hint="eastAsia" w:ascii="楷体_GB2312" w:hAnsi="宋体" w:eastAsia="楷体_GB2312"/>
                <w:b/>
                <w:bCs/>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6" w:hRule="atLeast"/>
          <w:jc w:val="center"/>
        </w:trPr>
        <w:tc>
          <w:tcPr>
            <w:tcW w:w="658" w:type="dxa"/>
            <w:noWrap w:val="0"/>
            <w:tcMar>
              <w:left w:w="142" w:type="dxa"/>
            </w:tcMar>
            <w:vAlign w:val="center"/>
          </w:tcPr>
          <w:p>
            <w:pPr>
              <w:spacing w:line="460" w:lineRule="exact"/>
              <w:jc w:val="center"/>
              <w:rPr>
                <w:rFonts w:hint="eastAsia" w:ascii="楷体_GB2312" w:hAnsi="宋体" w:eastAsia="楷体_GB2312"/>
                <w:b/>
                <w:bCs/>
                <w:sz w:val="28"/>
              </w:rPr>
            </w:pPr>
            <w:r>
              <w:rPr>
                <w:rFonts w:hint="eastAsia" w:ascii="楷体_GB2312" w:hAnsi="宋体" w:eastAsia="楷体_GB2312"/>
                <w:b/>
                <w:bCs/>
                <w:sz w:val="28"/>
              </w:rPr>
              <w:t>胸</w:t>
            </w:r>
          </w:p>
          <w:p>
            <w:pPr>
              <w:spacing w:line="460" w:lineRule="exact"/>
              <w:jc w:val="center"/>
              <w:rPr>
                <w:rFonts w:hint="eastAsia" w:ascii="楷体_GB2312" w:hAnsi="宋体" w:eastAsia="楷体_GB2312"/>
                <w:b/>
                <w:bCs/>
                <w:sz w:val="28"/>
              </w:rPr>
            </w:pPr>
            <w:r>
              <w:rPr>
                <w:rFonts w:hint="eastAsia" w:ascii="楷体_GB2312" w:hAnsi="宋体" w:eastAsia="楷体_GB2312"/>
                <w:b/>
                <w:bCs/>
                <w:sz w:val="28"/>
              </w:rPr>
              <w:t>部</w:t>
            </w:r>
          </w:p>
          <w:p>
            <w:pPr>
              <w:spacing w:line="460" w:lineRule="exact"/>
              <w:jc w:val="center"/>
              <w:rPr>
                <w:rFonts w:hint="eastAsia" w:ascii="楷体_GB2312" w:hAnsi="宋体" w:eastAsia="楷体_GB2312"/>
                <w:b/>
                <w:bCs/>
                <w:sz w:val="28"/>
              </w:rPr>
            </w:pPr>
            <w:r>
              <w:rPr>
                <w:rFonts w:hint="eastAsia" w:ascii="楷体_GB2312" w:hAnsi="宋体" w:eastAsia="楷体_GB2312"/>
                <w:b/>
                <w:bCs/>
                <w:sz w:val="28"/>
              </w:rPr>
              <w:t>X</w:t>
            </w:r>
          </w:p>
          <w:p>
            <w:pPr>
              <w:spacing w:line="460" w:lineRule="exact"/>
              <w:jc w:val="center"/>
              <w:rPr>
                <w:rFonts w:hint="eastAsia" w:ascii="楷体_GB2312" w:hAnsi="宋体" w:eastAsia="楷体_GB2312"/>
                <w:b/>
                <w:bCs/>
                <w:sz w:val="28"/>
              </w:rPr>
            </w:pPr>
            <w:r>
              <w:rPr>
                <w:rFonts w:hint="eastAsia" w:ascii="楷体_GB2312" w:hAnsi="宋体" w:eastAsia="楷体_GB2312"/>
                <w:b/>
                <w:bCs/>
                <w:sz w:val="28"/>
              </w:rPr>
              <w:t>线</w:t>
            </w:r>
          </w:p>
          <w:p>
            <w:pPr>
              <w:spacing w:line="460" w:lineRule="exact"/>
              <w:jc w:val="center"/>
              <w:rPr>
                <w:rFonts w:hint="eastAsia" w:ascii="楷体_GB2312" w:hAnsi="宋体" w:eastAsia="楷体_GB2312"/>
                <w:b/>
                <w:bCs/>
                <w:sz w:val="28"/>
              </w:rPr>
            </w:pPr>
            <w:r>
              <w:rPr>
                <w:rFonts w:hint="eastAsia" w:ascii="楷体_GB2312" w:hAnsi="宋体" w:eastAsia="楷体_GB2312"/>
                <w:b/>
                <w:bCs/>
                <w:sz w:val="28"/>
              </w:rPr>
              <w:t>片</w:t>
            </w:r>
          </w:p>
        </w:tc>
        <w:tc>
          <w:tcPr>
            <w:tcW w:w="9408" w:type="dxa"/>
            <w:noWrap w:val="0"/>
            <w:tcMar>
              <w:top w:w="170" w:type="dxa"/>
              <w:left w:w="142" w:type="dxa"/>
            </w:tcMar>
            <w:vAlign w:val="center"/>
          </w:tcPr>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r>
              <w:rPr>
                <w:rFonts w:hint="eastAsia" w:ascii="楷体_GB2312" w:hAnsi="宋体" w:eastAsia="楷体_GB2312"/>
                <w:b/>
                <w:bCs/>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5" w:hRule="atLeast"/>
          <w:jc w:val="center"/>
        </w:trPr>
        <w:tc>
          <w:tcPr>
            <w:tcW w:w="658" w:type="dxa"/>
            <w:tcBorders>
              <w:top w:val="single" w:color="auto" w:sz="12" w:space="0"/>
              <w:bottom w:val="single" w:color="auto" w:sz="4" w:space="0"/>
            </w:tcBorders>
            <w:noWrap w:val="0"/>
            <w:vAlign w:val="center"/>
          </w:tcPr>
          <w:p>
            <w:pPr>
              <w:spacing w:line="440" w:lineRule="exact"/>
              <w:jc w:val="center"/>
              <w:rPr>
                <w:rFonts w:hint="eastAsia" w:ascii="楷体_GB2312" w:hAnsi="宋体" w:eastAsia="楷体_GB2312"/>
                <w:b/>
                <w:bCs/>
                <w:sz w:val="28"/>
              </w:rPr>
            </w:pPr>
            <w:r>
              <w:rPr>
                <w:rFonts w:hint="eastAsia" w:ascii="楷体_GB2312" w:hAnsi="宋体" w:eastAsia="楷体_GB2312"/>
                <w:b/>
                <w:bCs/>
                <w:sz w:val="28"/>
              </w:rPr>
              <w:t>腹</w:t>
            </w:r>
          </w:p>
          <w:p>
            <w:pPr>
              <w:spacing w:line="440" w:lineRule="exact"/>
              <w:jc w:val="center"/>
              <w:rPr>
                <w:rFonts w:hint="eastAsia" w:ascii="楷体_GB2312" w:hAnsi="宋体" w:eastAsia="楷体_GB2312"/>
                <w:b/>
                <w:bCs/>
                <w:sz w:val="28"/>
              </w:rPr>
            </w:pPr>
            <w:r>
              <w:rPr>
                <w:rFonts w:hint="eastAsia" w:ascii="楷体_GB2312" w:hAnsi="宋体" w:eastAsia="楷体_GB2312"/>
                <w:b/>
                <w:bCs/>
                <w:sz w:val="28"/>
              </w:rPr>
              <w:t>部</w:t>
            </w:r>
          </w:p>
          <w:p>
            <w:pPr>
              <w:spacing w:line="440" w:lineRule="exact"/>
              <w:jc w:val="center"/>
              <w:rPr>
                <w:rFonts w:hint="eastAsia" w:ascii="楷体_GB2312" w:hAnsi="宋体" w:eastAsia="楷体_GB2312"/>
                <w:b/>
                <w:bCs/>
                <w:sz w:val="28"/>
              </w:rPr>
            </w:pPr>
            <w:r>
              <w:rPr>
                <w:rFonts w:hint="eastAsia" w:ascii="楷体_GB2312" w:hAnsi="宋体" w:eastAsia="楷体_GB2312"/>
                <w:b/>
                <w:bCs/>
                <w:sz w:val="28"/>
              </w:rPr>
              <w:t>B</w:t>
            </w:r>
          </w:p>
          <w:p>
            <w:pPr>
              <w:spacing w:line="440" w:lineRule="exact"/>
              <w:jc w:val="center"/>
              <w:rPr>
                <w:rFonts w:hint="eastAsia" w:ascii="楷体_GB2312" w:hAnsi="宋体" w:eastAsia="楷体_GB2312"/>
                <w:b/>
                <w:bCs/>
                <w:sz w:val="28"/>
              </w:rPr>
            </w:pPr>
            <w:r>
              <w:rPr>
                <w:rFonts w:hint="eastAsia" w:ascii="楷体_GB2312" w:hAnsi="宋体" w:eastAsia="楷体_GB2312"/>
                <w:b/>
                <w:bCs/>
                <w:sz w:val="28"/>
              </w:rPr>
              <w:t>超</w:t>
            </w:r>
          </w:p>
          <w:p>
            <w:pPr>
              <w:spacing w:line="440" w:lineRule="exact"/>
              <w:jc w:val="center"/>
              <w:rPr>
                <w:rFonts w:hint="eastAsia" w:ascii="楷体_GB2312" w:hAnsi="宋体" w:eastAsia="楷体_GB2312"/>
                <w:b/>
                <w:bCs/>
                <w:sz w:val="28"/>
              </w:rPr>
            </w:pPr>
            <w:r>
              <w:rPr>
                <w:rFonts w:hint="eastAsia" w:ascii="楷体_GB2312" w:hAnsi="宋体" w:eastAsia="楷体_GB2312"/>
                <w:b/>
                <w:bCs/>
                <w:sz w:val="28"/>
              </w:rPr>
              <w:t>检</w:t>
            </w:r>
          </w:p>
          <w:p>
            <w:pPr>
              <w:spacing w:line="440" w:lineRule="exact"/>
              <w:jc w:val="center"/>
              <w:rPr>
                <w:rFonts w:hint="eastAsia" w:ascii="楷体_GB2312" w:eastAsia="楷体_GB2312"/>
                <w:b/>
                <w:bCs/>
              </w:rPr>
            </w:pPr>
            <w:r>
              <w:rPr>
                <w:rFonts w:hint="eastAsia" w:ascii="楷体_GB2312" w:hAnsi="宋体" w:eastAsia="楷体_GB2312"/>
                <w:b/>
                <w:bCs/>
                <w:sz w:val="28"/>
              </w:rPr>
              <w:t>查</w:t>
            </w:r>
          </w:p>
        </w:tc>
        <w:tc>
          <w:tcPr>
            <w:tcW w:w="9408" w:type="dxa"/>
            <w:tcBorders>
              <w:top w:val="single" w:color="auto" w:sz="12" w:space="0"/>
              <w:bottom w:val="single" w:color="auto" w:sz="4" w:space="0"/>
            </w:tcBorders>
            <w:noWrap w:val="0"/>
            <w:tcMar>
              <w:left w:w="142" w:type="dxa"/>
              <w:right w:w="85" w:type="dxa"/>
            </w:tcMar>
            <w:vAlign w:val="top"/>
          </w:tcPr>
          <w:p>
            <w:pPr>
              <w:rPr>
                <w:rFonts w:hint="eastAsia" w:ascii="楷体_GB2312" w:eastAsia="楷体_GB2312"/>
                <w:b/>
                <w:bCs/>
                <w:sz w:val="24"/>
              </w:rPr>
            </w:pPr>
          </w:p>
          <w:p>
            <w:pPr>
              <w:rPr>
                <w:rFonts w:hint="eastAsia" w:ascii="楷体_GB2312" w:eastAsia="楷体_GB2312"/>
                <w:b/>
                <w:bCs/>
                <w:sz w:val="24"/>
              </w:rPr>
            </w:pPr>
          </w:p>
          <w:p>
            <w:pPr>
              <w:jc w:val="cente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hAnsi="宋体" w:eastAsia="楷体_GB2312"/>
                <w:b/>
                <w:bCs/>
                <w:sz w:val="24"/>
              </w:rPr>
            </w:pPr>
          </w:p>
          <w:p>
            <w:pPr>
              <w:rPr>
                <w:rFonts w:hint="eastAsia" w:ascii="楷体_GB2312" w:hAnsi="宋体" w:eastAsia="楷体_GB2312"/>
                <w:b/>
                <w:bCs/>
                <w:sz w:val="24"/>
              </w:rPr>
            </w:pPr>
          </w:p>
          <w:p>
            <w:pPr>
              <w:rPr>
                <w:rFonts w:hint="eastAsia" w:ascii="楷体_GB2312" w:eastAsia="楷体_GB2312"/>
                <w:b/>
                <w:bCs/>
                <w:sz w:val="24"/>
              </w:rPr>
            </w:pPr>
            <w:r>
              <w:rPr>
                <w:rFonts w:hint="eastAsia" w:ascii="楷体_GB2312" w:hAnsi="宋体" w:eastAsia="楷体_GB2312"/>
                <w:b/>
                <w:bCs/>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54" w:hRule="atLeast"/>
          <w:jc w:val="center"/>
        </w:trPr>
        <w:tc>
          <w:tcPr>
            <w:tcW w:w="658" w:type="dxa"/>
            <w:vMerge w:val="restart"/>
            <w:tcBorders>
              <w:top w:val="single" w:color="auto" w:sz="4" w:space="0"/>
            </w:tcBorders>
            <w:noWrap w:val="0"/>
            <w:vAlign w:val="center"/>
          </w:tcPr>
          <w:p>
            <w:pPr>
              <w:jc w:val="center"/>
              <w:rPr>
                <w:rFonts w:hint="eastAsia" w:ascii="楷体_GB2312" w:hAnsi="宋体" w:eastAsia="楷体_GB2312"/>
                <w:b/>
                <w:bCs/>
                <w:sz w:val="28"/>
              </w:rPr>
            </w:pPr>
            <w:r>
              <w:rPr>
                <w:rFonts w:hint="eastAsia" w:ascii="楷体_GB2312" w:hAnsi="宋体" w:eastAsia="楷体_GB2312"/>
                <w:b/>
                <w:bCs/>
                <w:sz w:val="28"/>
              </w:rPr>
              <w:t>体</w:t>
            </w:r>
          </w:p>
          <w:p>
            <w:pPr>
              <w:jc w:val="center"/>
              <w:rPr>
                <w:rFonts w:hint="eastAsia" w:ascii="楷体_GB2312" w:hAnsi="宋体" w:eastAsia="楷体_GB2312"/>
                <w:b/>
                <w:bCs/>
                <w:sz w:val="28"/>
              </w:rPr>
            </w:pPr>
            <w:r>
              <w:rPr>
                <w:rFonts w:hint="eastAsia" w:ascii="楷体_GB2312" w:hAnsi="宋体" w:eastAsia="楷体_GB2312"/>
                <w:b/>
                <w:bCs/>
                <w:sz w:val="28"/>
              </w:rPr>
              <w:t>检</w:t>
            </w:r>
          </w:p>
          <w:p>
            <w:pPr>
              <w:jc w:val="center"/>
              <w:rPr>
                <w:rFonts w:hint="eastAsia" w:ascii="楷体_GB2312" w:hAnsi="宋体" w:eastAsia="楷体_GB2312"/>
                <w:b/>
                <w:bCs/>
                <w:sz w:val="28"/>
              </w:rPr>
            </w:pPr>
            <w:r>
              <w:rPr>
                <w:rFonts w:hint="eastAsia" w:ascii="楷体_GB2312" w:hAnsi="宋体" w:eastAsia="楷体_GB2312"/>
                <w:b/>
                <w:bCs/>
                <w:sz w:val="28"/>
              </w:rPr>
              <w:t>结</w:t>
            </w:r>
          </w:p>
          <w:p>
            <w:pPr>
              <w:jc w:val="center"/>
              <w:rPr>
                <w:rFonts w:hint="eastAsia" w:ascii="楷体_GB2312" w:hAnsi="宋体" w:eastAsia="楷体_GB2312"/>
                <w:b/>
                <w:bCs/>
                <w:sz w:val="28"/>
              </w:rPr>
            </w:pPr>
            <w:r>
              <w:rPr>
                <w:rFonts w:hint="eastAsia" w:ascii="楷体_GB2312" w:hAnsi="宋体" w:eastAsia="楷体_GB2312"/>
                <w:b/>
                <w:bCs/>
                <w:sz w:val="28"/>
              </w:rPr>
              <w:t>论</w:t>
            </w:r>
          </w:p>
          <w:p>
            <w:pPr>
              <w:jc w:val="center"/>
              <w:rPr>
                <w:rFonts w:hint="eastAsia" w:ascii="楷体_GB2312" w:hAnsi="宋体" w:eastAsia="楷体_GB2312"/>
                <w:b/>
                <w:bCs/>
                <w:sz w:val="28"/>
              </w:rPr>
            </w:pPr>
            <w:r>
              <w:rPr>
                <w:rFonts w:hint="eastAsia" w:ascii="楷体_GB2312" w:hAnsi="宋体" w:eastAsia="楷体_GB2312"/>
                <w:b/>
                <w:bCs/>
                <w:sz w:val="28"/>
              </w:rPr>
              <w:t>及</w:t>
            </w:r>
          </w:p>
          <w:p>
            <w:pPr>
              <w:jc w:val="center"/>
              <w:rPr>
                <w:rFonts w:hint="eastAsia" w:ascii="楷体_GB2312" w:hAnsi="宋体" w:eastAsia="楷体_GB2312"/>
                <w:b/>
                <w:bCs/>
                <w:sz w:val="28"/>
              </w:rPr>
            </w:pPr>
            <w:r>
              <w:rPr>
                <w:rFonts w:hint="eastAsia" w:ascii="楷体_GB2312" w:hAnsi="宋体" w:eastAsia="楷体_GB2312"/>
                <w:b/>
                <w:bCs/>
                <w:sz w:val="28"/>
              </w:rPr>
              <w:t>建</w:t>
            </w:r>
          </w:p>
          <w:p>
            <w:pPr>
              <w:jc w:val="center"/>
              <w:rPr>
                <w:rFonts w:hint="eastAsia" w:ascii="楷体_GB2312" w:eastAsia="楷体_GB2312"/>
              </w:rPr>
            </w:pPr>
            <w:r>
              <w:rPr>
                <w:rFonts w:hint="eastAsia" w:ascii="楷体_GB2312" w:hAnsi="宋体" w:eastAsia="楷体_GB2312"/>
                <w:b/>
                <w:bCs/>
                <w:sz w:val="28"/>
              </w:rPr>
              <w:t>议</w:t>
            </w:r>
          </w:p>
        </w:tc>
        <w:tc>
          <w:tcPr>
            <w:tcW w:w="9408" w:type="dxa"/>
            <w:tcBorders>
              <w:top w:val="single" w:color="auto" w:sz="4" w:space="0"/>
              <w:bottom w:val="single" w:color="auto" w:sz="4" w:space="0"/>
            </w:tcBorders>
            <w:noWrap w:val="0"/>
            <w:tcMar>
              <w:left w:w="142" w:type="dxa"/>
              <w:right w:w="85" w:type="dxa"/>
            </w:tcMar>
            <w:vAlign w:val="top"/>
          </w:tcPr>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r>
              <w:rPr>
                <w:rFonts w:hint="eastAsia" w:ascii="宋体"/>
                <w:b/>
                <w:bCs/>
              </w:rPr>
              <w:t>根据《公务员录用体检通用标准》，体检结论属于</w:t>
            </w:r>
            <w:r>
              <w:rPr>
                <w:rFonts w:hint="eastAsia" w:ascii="宋体"/>
                <w:u w:val="single"/>
              </w:rPr>
              <w:t xml:space="preserve">                </w:t>
            </w:r>
            <w:r>
              <w:rPr>
                <w:rFonts w:hint="eastAsia" w:asci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36" w:hRule="atLeast"/>
          <w:jc w:val="center"/>
        </w:trPr>
        <w:tc>
          <w:tcPr>
            <w:tcW w:w="658" w:type="dxa"/>
            <w:vMerge w:val="continue"/>
            <w:tcBorders>
              <w:bottom w:val="single" w:color="auto" w:sz="12" w:space="0"/>
            </w:tcBorders>
            <w:noWrap w:val="0"/>
            <w:vAlign w:val="top"/>
          </w:tcPr>
          <w:p>
            <w:pPr>
              <w:rPr>
                <w:rFonts w:hint="eastAsia" w:ascii="楷体_GB2312" w:eastAsia="楷体_GB2312"/>
              </w:rPr>
            </w:pPr>
          </w:p>
        </w:tc>
        <w:tc>
          <w:tcPr>
            <w:tcW w:w="9408" w:type="dxa"/>
            <w:tcBorders>
              <w:top w:val="single" w:color="auto" w:sz="4" w:space="0"/>
              <w:bottom w:val="single" w:color="auto" w:sz="12" w:space="0"/>
            </w:tcBorders>
            <w:noWrap w:val="0"/>
            <w:tcMar>
              <w:left w:w="142" w:type="dxa"/>
            </w:tcMar>
            <w:vAlign w:val="center"/>
          </w:tcPr>
          <w:p>
            <w:pPr>
              <w:ind w:firstLine="6480" w:firstLineChars="2700"/>
              <w:rPr>
                <w:rFonts w:hint="eastAsia" w:ascii="楷体_GB2312" w:hAnsi="宋体" w:eastAsia="楷体_GB2312"/>
                <w:sz w:val="24"/>
              </w:rPr>
            </w:pPr>
          </w:p>
          <w:p>
            <w:pPr>
              <w:ind w:firstLine="4800" w:firstLineChars="2000"/>
              <w:rPr>
                <w:rFonts w:hint="eastAsia" w:ascii="楷体_GB2312" w:hAnsi="宋体" w:eastAsia="楷体_GB2312"/>
                <w:sz w:val="24"/>
              </w:rPr>
            </w:pPr>
            <w:r>
              <w:rPr>
                <w:rFonts w:hint="eastAsia" w:ascii="楷体_GB2312" w:hAnsi="宋体" w:eastAsia="楷体_GB2312"/>
                <w:sz w:val="24"/>
              </w:rPr>
              <w:t xml:space="preserve">              </w:t>
            </w:r>
          </w:p>
          <w:p>
            <w:pPr>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b/>
                <w:bCs/>
                <w:sz w:val="24"/>
              </w:rPr>
              <w:t xml:space="preserve"> 体检医院签章处</w:t>
            </w:r>
          </w:p>
          <w:p>
            <w:pPr>
              <w:rPr>
                <w:rFonts w:ascii="楷体_GB2312" w:hAnsi="宋体" w:eastAsia="楷体_GB2312"/>
                <w:sz w:val="24"/>
              </w:rPr>
            </w:pP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 xml:space="preserve">       </w:t>
            </w:r>
          </w:p>
          <w:p>
            <w:pPr>
              <w:rPr>
                <w:rFonts w:ascii="楷体_GB2312" w:eastAsia="楷体_GB2312"/>
              </w:rPr>
            </w:pPr>
            <w:r>
              <w:rPr>
                <w:rFonts w:hint="eastAsia" w:ascii="楷体_GB2312" w:hAnsi="宋体" w:eastAsia="楷体_GB2312"/>
                <w:b/>
                <w:bCs/>
                <w:sz w:val="24"/>
              </w:rPr>
              <w:t>主检医师签字</w:t>
            </w:r>
            <w:r>
              <w:rPr>
                <w:rFonts w:hint="eastAsia" w:ascii="楷体_GB2312" w:hAnsi="宋体" w:eastAsia="楷体_GB2312"/>
                <w:sz w:val="24"/>
              </w:rPr>
              <w:t xml:space="preserve">：                                   </w:t>
            </w:r>
            <w:r>
              <w:rPr>
                <w:rFonts w:hint="eastAsia" w:ascii="楷体_GB2312" w:hAnsi="宋体" w:eastAsia="楷体_GB2312"/>
                <w:b/>
                <w:bCs/>
                <w:sz w:val="24"/>
              </w:rPr>
              <w:t>年        月        日</w:t>
            </w:r>
          </w:p>
        </w:tc>
      </w:tr>
    </w:tbl>
    <w:p>
      <w:pPr>
        <w:jc w:val="center"/>
        <w:rPr>
          <w:rFonts w:hint="eastAsia" w:ascii="楷体_GB2312" w:hAnsi="宋体" w:eastAsia="楷体_GB2312"/>
          <w:b/>
          <w:bCs/>
          <w:spacing w:val="44"/>
          <w:sz w:val="52"/>
        </w:rPr>
      </w:pPr>
      <w:r>
        <w:rPr>
          <w:rFonts w:hint="eastAsia" w:ascii="楷体_GB2312" w:hAnsi="宋体" w:eastAsia="楷体_GB2312"/>
          <w:b/>
          <w:bCs/>
          <w:sz w:val="52"/>
        </w:rPr>
        <w:t>检 验 项 目</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8"/>
        <w:gridCol w:w="4368"/>
        <w:gridCol w:w="50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restart"/>
            <w:noWrap w:val="0"/>
            <w:vAlign w:val="center"/>
          </w:tcPr>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血</w:t>
            </w:r>
          </w:p>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常</w:t>
            </w:r>
          </w:p>
          <w:p>
            <w:pPr>
              <w:spacing w:line="400" w:lineRule="exact"/>
              <w:jc w:val="center"/>
              <w:rPr>
                <w:rFonts w:hint="eastAsia" w:ascii="楷体_GB2312" w:hAnsi="宋体" w:eastAsia="楷体_GB2312"/>
                <w:b/>
                <w:bCs/>
              </w:rPr>
            </w:pPr>
            <w:r>
              <w:rPr>
                <w:rFonts w:hint="eastAsia" w:ascii="楷体_GB2312" w:hAnsi="宋体" w:eastAsia="楷体_GB2312"/>
                <w:b/>
                <w:bCs/>
                <w:sz w:val="28"/>
              </w:rPr>
              <w:t>规</w:t>
            </w: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白细胞总数（</w:t>
            </w:r>
            <w:r>
              <w:rPr>
                <w:rFonts w:hint="eastAsia" w:ascii="楷体_GB2312" w:eastAsia="楷体_GB2312"/>
                <w:b/>
                <w:bCs/>
                <w:sz w:val="28"/>
              </w:rPr>
              <w:t>WBC</w:t>
            </w:r>
            <w:r>
              <w:rPr>
                <w:rFonts w:hint="eastAsia" w:ascii="楷体_GB2312" w:hAnsi="宋体" w:eastAsia="楷体_GB2312"/>
                <w:b/>
                <w:bCs/>
                <w:sz w:val="28"/>
              </w:rPr>
              <w:t>）及分类</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血红蛋白（</w:t>
            </w:r>
            <w:r>
              <w:rPr>
                <w:rFonts w:hint="eastAsia" w:ascii="楷体_GB2312" w:eastAsia="楷体_GB2312"/>
                <w:b/>
                <w:bCs/>
                <w:sz w:val="28"/>
              </w:rPr>
              <w:t>HGB</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红细胞总数（</w:t>
            </w:r>
            <w:r>
              <w:rPr>
                <w:rFonts w:hint="eastAsia" w:ascii="楷体_GB2312" w:eastAsia="楷体_GB2312"/>
                <w:b/>
                <w:bCs/>
                <w:sz w:val="28"/>
              </w:rPr>
              <w:t>RBC</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血小板计数（</w:t>
            </w:r>
            <w:r>
              <w:rPr>
                <w:rFonts w:hint="eastAsia" w:ascii="楷体_GB2312" w:eastAsia="楷体_GB2312"/>
                <w:b/>
                <w:bCs/>
                <w:sz w:val="28"/>
              </w:rPr>
              <w:t>PLT</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restart"/>
            <w:noWrap w:val="0"/>
            <w:vAlign w:val="center"/>
          </w:tcPr>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血</w:t>
            </w:r>
          </w:p>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生</w:t>
            </w:r>
          </w:p>
          <w:p>
            <w:pPr>
              <w:spacing w:line="400" w:lineRule="exact"/>
              <w:jc w:val="center"/>
              <w:rPr>
                <w:rFonts w:hint="eastAsia" w:ascii="楷体_GB2312" w:hAnsi="宋体" w:eastAsia="楷体_GB2312"/>
                <w:b/>
                <w:bCs/>
              </w:rPr>
            </w:pPr>
            <w:r>
              <w:rPr>
                <w:rFonts w:hint="eastAsia" w:ascii="楷体_GB2312" w:hAnsi="宋体" w:eastAsia="楷体_GB2312"/>
                <w:b/>
                <w:bCs/>
                <w:sz w:val="28"/>
              </w:rPr>
              <w:t>化</w:t>
            </w: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丙氨酸氨基转移酶（</w:t>
            </w:r>
            <w:r>
              <w:rPr>
                <w:rFonts w:hint="eastAsia" w:ascii="楷体_GB2312" w:eastAsia="楷体_GB2312"/>
                <w:b/>
                <w:bCs/>
                <w:sz w:val="28"/>
              </w:rPr>
              <w:t>ALT</w:t>
            </w:r>
            <w:r>
              <w:rPr>
                <w:rFonts w:hint="eastAsia" w:ascii="楷体_GB2312" w:hAnsi="宋体" w:eastAsia="楷体_GB2312"/>
                <w:b/>
                <w:bCs/>
                <w:sz w:val="28"/>
              </w:rPr>
              <w:t xml:space="preserve">）  </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eastAsia="楷体_GB2312"/>
                <w:b/>
                <w:bCs/>
                <w:sz w:val="28"/>
              </w:rPr>
              <w:t>尿素氮（BUN）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天冬氨酸氨基转移酶（</w:t>
            </w:r>
            <w:r>
              <w:rPr>
                <w:rFonts w:hint="eastAsia" w:ascii="楷体_GB2312" w:eastAsia="楷体_GB2312"/>
                <w:b/>
                <w:bCs/>
                <w:sz w:val="28"/>
              </w:rPr>
              <w:t>AST</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肌酐（</w:t>
            </w:r>
            <w:r>
              <w:rPr>
                <w:rFonts w:hint="eastAsia" w:ascii="楷体_GB2312" w:eastAsia="楷体_GB2312"/>
                <w:b/>
                <w:bCs/>
                <w:sz w:val="28"/>
              </w:rPr>
              <w:t>CR</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eastAsia="楷体_GB2312"/>
                <w:b/>
                <w:bCs/>
                <w:sz w:val="28"/>
              </w:rPr>
              <w:t>葡萄糖（GLU）</w:t>
            </w:r>
          </w:p>
        </w:tc>
        <w:tc>
          <w:tcPr>
            <w:tcW w:w="5053" w:type="dxa"/>
            <w:noWrap w:val="0"/>
            <w:vAlign w:val="center"/>
          </w:tcPr>
          <w:p>
            <w:pPr>
              <w:ind w:firstLine="241" w:firstLineChars="100"/>
              <w:rPr>
                <w:rFonts w:hint="eastAsia" w:ascii="楷体_GB2312" w:hAnsi="宋体" w:eastAsia="楷体_GB2312"/>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noWrap w:val="0"/>
            <w:vAlign w:val="center"/>
          </w:tcPr>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免</w:t>
            </w:r>
          </w:p>
          <w:p>
            <w:pPr>
              <w:spacing w:line="400" w:lineRule="exact"/>
              <w:jc w:val="center"/>
              <w:rPr>
                <w:rFonts w:hint="eastAsia" w:ascii="楷体_GB2312" w:hAnsi="宋体" w:eastAsia="楷体_GB2312"/>
                <w:b/>
                <w:bCs/>
              </w:rPr>
            </w:pPr>
            <w:r>
              <w:rPr>
                <w:rFonts w:hint="eastAsia" w:ascii="楷体_GB2312" w:hAnsi="宋体" w:eastAsia="楷体_GB2312"/>
                <w:b/>
                <w:bCs/>
                <w:sz w:val="28"/>
              </w:rPr>
              <w:t>疫</w:t>
            </w: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艾滋病病毒抗体（抗HIV）</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梅毒血清特异性抗体（TPHA）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restart"/>
            <w:noWrap w:val="0"/>
            <w:vAlign w:val="center"/>
          </w:tcPr>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尿</w:t>
            </w:r>
          </w:p>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常</w:t>
            </w:r>
          </w:p>
          <w:p>
            <w:pPr>
              <w:spacing w:line="400" w:lineRule="exact"/>
              <w:jc w:val="center"/>
              <w:rPr>
                <w:rFonts w:hint="eastAsia" w:ascii="楷体_GB2312" w:hAnsi="宋体" w:eastAsia="楷体_GB2312"/>
                <w:b/>
                <w:bCs/>
              </w:rPr>
            </w:pPr>
            <w:r>
              <w:rPr>
                <w:rFonts w:hint="eastAsia" w:ascii="楷体_GB2312" w:hAnsi="宋体" w:eastAsia="楷体_GB2312"/>
                <w:b/>
                <w:bCs/>
                <w:sz w:val="28"/>
              </w:rPr>
              <w:t>规</w:t>
            </w: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糖（</w:t>
            </w:r>
            <w:r>
              <w:rPr>
                <w:rFonts w:hint="eastAsia" w:ascii="楷体_GB2312" w:eastAsia="楷体_GB2312"/>
                <w:b/>
                <w:bCs/>
                <w:sz w:val="28"/>
              </w:rPr>
              <w:t>GLU</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蛋白质（</w:t>
            </w:r>
            <w:r>
              <w:rPr>
                <w:rFonts w:hint="eastAsia" w:ascii="楷体_GB2312" w:eastAsia="楷体_GB2312"/>
                <w:b/>
                <w:bCs/>
                <w:sz w:val="28"/>
              </w:rPr>
              <w:t>PRO</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胆红素（</w:t>
            </w:r>
            <w:r>
              <w:rPr>
                <w:rFonts w:hint="eastAsia" w:ascii="楷体_GB2312" w:eastAsia="楷体_GB2312"/>
                <w:b/>
                <w:bCs/>
                <w:sz w:val="28"/>
              </w:rPr>
              <w:t>TBIL</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尿胆原（</w:t>
            </w:r>
            <w:r>
              <w:rPr>
                <w:rFonts w:hint="eastAsia" w:ascii="楷体_GB2312" w:eastAsia="楷体_GB2312"/>
                <w:b/>
                <w:bCs/>
                <w:sz w:val="28"/>
              </w:rPr>
              <w:t>URO</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比重（</w:t>
            </w:r>
            <w:r>
              <w:rPr>
                <w:rFonts w:hint="eastAsia" w:ascii="楷体_GB2312" w:eastAsia="楷体_GB2312"/>
                <w:b/>
                <w:bCs/>
                <w:sz w:val="28"/>
              </w:rPr>
              <w:t>SG</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红细胞（</w:t>
            </w:r>
            <w:r>
              <w:rPr>
                <w:rFonts w:hint="eastAsia" w:ascii="楷体_GB2312" w:eastAsia="楷体_GB2312"/>
                <w:b/>
                <w:bCs/>
                <w:sz w:val="28"/>
              </w:rPr>
              <w:t>BLO</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酸碱度（</w:t>
            </w:r>
            <w:r>
              <w:rPr>
                <w:rFonts w:hint="eastAsia" w:ascii="楷体_GB2312" w:eastAsia="楷体_GB2312"/>
                <w:b/>
                <w:bCs/>
                <w:sz w:val="28"/>
              </w:rPr>
              <w:t>PH</w:t>
            </w:r>
            <w:r>
              <w:rPr>
                <w:rFonts w:hint="eastAsia" w:ascii="楷体_GB2312" w:hAnsi="宋体" w:eastAsia="楷体_GB2312"/>
                <w:b/>
                <w:bCs/>
                <w:sz w:val="28"/>
              </w:rPr>
              <w:t>）</w:t>
            </w:r>
          </w:p>
        </w:tc>
        <w:tc>
          <w:tcPr>
            <w:tcW w:w="5053"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白细胞（</w:t>
            </w:r>
            <w:r>
              <w:rPr>
                <w:rFonts w:hint="eastAsia" w:ascii="楷体_GB2312" w:eastAsia="楷体_GB2312"/>
                <w:b/>
                <w:bCs/>
                <w:sz w:val="28"/>
              </w:rPr>
              <w:t>LEU</w:t>
            </w:r>
            <w:r>
              <w:rPr>
                <w:rFonts w:hint="eastAsia" w:ascii="楷体_GB2312" w:hAnsi="宋体" w:eastAsia="楷体_GB2312"/>
                <w:b/>
                <w:bCs/>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58" w:type="dxa"/>
            <w:vMerge w:val="continue"/>
            <w:noWrap w:val="0"/>
            <w:vAlign w:val="center"/>
          </w:tcPr>
          <w:p>
            <w:pPr>
              <w:rPr>
                <w:rFonts w:hint="eastAsia" w:ascii="楷体_GB2312" w:hAnsi="宋体" w:eastAsia="楷体_GB2312"/>
                <w:b/>
                <w:bCs/>
              </w:rPr>
            </w:pPr>
          </w:p>
        </w:tc>
        <w:tc>
          <w:tcPr>
            <w:tcW w:w="4368" w:type="dxa"/>
            <w:noWrap w:val="0"/>
            <w:vAlign w:val="center"/>
          </w:tcPr>
          <w:p>
            <w:pPr>
              <w:ind w:firstLine="281" w:firstLineChars="100"/>
              <w:rPr>
                <w:rFonts w:hint="eastAsia" w:ascii="楷体_GB2312" w:hAnsi="宋体" w:eastAsia="楷体_GB2312"/>
                <w:b/>
                <w:bCs/>
                <w:sz w:val="28"/>
              </w:rPr>
            </w:pPr>
            <w:r>
              <w:rPr>
                <w:rFonts w:hint="eastAsia" w:ascii="楷体_GB2312" w:hAnsi="宋体" w:eastAsia="楷体_GB2312"/>
                <w:b/>
                <w:bCs/>
                <w:sz w:val="28"/>
              </w:rPr>
              <w:t>镜检</w:t>
            </w:r>
          </w:p>
        </w:tc>
        <w:tc>
          <w:tcPr>
            <w:tcW w:w="5053" w:type="dxa"/>
            <w:noWrap w:val="0"/>
            <w:vAlign w:val="center"/>
          </w:tcPr>
          <w:p>
            <w:pPr>
              <w:ind w:firstLine="281" w:firstLineChars="100"/>
              <w:rPr>
                <w:rFonts w:hint="eastAsia" w:ascii="楷体_GB2312" w:hAnsi="宋体" w:eastAsia="楷体_GB2312"/>
                <w:b/>
                <w:bCs/>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658" w:type="dxa"/>
            <w:noWrap w:val="0"/>
            <w:vAlign w:val="center"/>
          </w:tcPr>
          <w:p>
            <w:pPr>
              <w:spacing w:line="400" w:lineRule="exact"/>
              <w:jc w:val="center"/>
              <w:rPr>
                <w:rFonts w:hint="eastAsia" w:ascii="楷体_GB2312" w:hAnsi="宋体" w:eastAsia="楷体_GB2312"/>
                <w:b/>
                <w:bCs/>
                <w:sz w:val="28"/>
              </w:rPr>
            </w:pPr>
            <w:r>
              <w:rPr>
                <w:rFonts w:hint="eastAsia" w:ascii="楷体_GB2312" w:hAnsi="宋体" w:eastAsia="楷体_GB2312"/>
                <w:b/>
                <w:bCs/>
                <w:sz w:val="28"/>
              </w:rPr>
              <w:t>其他</w:t>
            </w:r>
          </w:p>
        </w:tc>
        <w:tc>
          <w:tcPr>
            <w:tcW w:w="9421" w:type="dxa"/>
            <w:gridSpan w:val="2"/>
            <w:noWrap w:val="0"/>
            <w:vAlign w:val="center"/>
          </w:tcPr>
          <w:p>
            <w:pPr>
              <w:ind w:firstLine="281" w:firstLineChars="100"/>
              <w:rPr>
                <w:rFonts w:hint="eastAsia" w:ascii="楷体_GB2312" w:hAnsi="宋体" w:eastAsia="楷体_GB2312"/>
                <w:b/>
                <w:bCs/>
                <w:sz w:val="28"/>
              </w:rPr>
            </w:pPr>
          </w:p>
        </w:tc>
      </w:tr>
    </w:tbl>
    <w:p>
      <w:pPr>
        <w:adjustRightInd w:val="0"/>
        <w:snapToGrid w:val="0"/>
        <w:spacing w:line="500" w:lineRule="exact"/>
      </w:pPr>
    </w:p>
    <w:sectPr>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p>
  <w:p>
    <w:pPr>
      <w:pStyle w:val="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p>
  <w:p>
    <w:pPr>
      <w:pStyle w:val="9"/>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kern w:val="0"/>
                              <w:szCs w:val="21"/>
                            </w:rPr>
                            <w:t xml:space="preserve"> -</w:t>
                          </w: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XW5UtAAAAAFAQAADwAAAAAAAAAB&#10;ACAAAAAiAAAAZHJzL2Rvd25yZXYueG1sUEsBAhQAFAAAAAgAh07iQCuZAROmAQAAQAMAAA4AAAAA&#10;AAAAAQAgAAAAHwEAAGRycy9lMm9Eb2MueG1sUEsFBgAAAAAGAAYAWQEAADcFAAAAAA==&#10;">
              <v:fill on="f" focussize="0,0"/>
              <v:stroke on="f"/>
              <v:imagedata o:title=""/>
              <o:lock v:ext="edit" aspectratio="f"/>
              <v:textbox inset="0mm,0mm,0mm,0mm" style="mso-fit-shape-to-text:t;">
                <w:txbxContent>
                  <w:p>
                    <w:pPr>
                      <w:pStyle w:val="9"/>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kern w:val="0"/>
                        <w:szCs w:val="21"/>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space"/>
      <w:lvlText w:val="第%1条"/>
      <w:lvlJc w:val="left"/>
    </w:lvl>
  </w:abstractNum>
  <w:abstractNum w:abstractNumId="1">
    <w:nsid w:val="0000000B"/>
    <w:multiLevelType w:val="multilevel"/>
    <w:tmpl w:val="0000000B"/>
    <w:lvl w:ilvl="0" w:tentative="0">
      <w:start w:val="1"/>
      <w:numFmt w:val="decimal"/>
      <w:lvlText w:val="%1"/>
      <w:lvlJc w:val="left"/>
      <w:pPr>
        <w:ind w:left="525" w:hanging="525"/>
      </w:pPr>
      <w:rPr>
        <w:rFonts w:hint="default"/>
      </w:rPr>
    </w:lvl>
    <w:lvl w:ilvl="1" w:tentative="0">
      <w:start w:val="4"/>
      <w:numFmt w:val="decimal"/>
      <w:lvlText w:val="%1.%2"/>
      <w:lvlJc w:val="left"/>
      <w:pPr>
        <w:ind w:left="735" w:hanging="525"/>
      </w:pPr>
      <w:rPr>
        <w:rFonts w:hint="default"/>
      </w:rPr>
    </w:lvl>
    <w:lvl w:ilvl="2" w:tentative="0">
      <w:start w:val="2"/>
      <w:numFmt w:val="decimal"/>
      <w:lvlText w:val="%1.%2.%3"/>
      <w:lvlJc w:val="left"/>
      <w:pPr>
        <w:ind w:left="1140" w:hanging="720"/>
      </w:pPr>
      <w:rPr>
        <w:rFonts w:hint="default"/>
      </w:rPr>
    </w:lvl>
    <w:lvl w:ilvl="3" w:tentative="0">
      <w:start w:val="1"/>
      <w:numFmt w:val="decimal"/>
      <w:lvlText w:val="%1.%2.%3.%4"/>
      <w:lvlJc w:val="left"/>
      <w:pPr>
        <w:ind w:left="1710" w:hanging="108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490" w:hanging="1440"/>
      </w:pPr>
      <w:rPr>
        <w:rFonts w:hint="default"/>
      </w:rPr>
    </w:lvl>
    <w:lvl w:ilvl="6" w:tentative="0">
      <w:start w:val="1"/>
      <w:numFmt w:val="decimal"/>
      <w:lvlText w:val="%1.%2.%3.%4.%5.%6.%7"/>
      <w:lvlJc w:val="left"/>
      <w:pPr>
        <w:ind w:left="2700" w:hanging="1440"/>
      </w:pPr>
      <w:rPr>
        <w:rFonts w:hint="default"/>
      </w:rPr>
    </w:lvl>
    <w:lvl w:ilvl="7" w:tentative="0">
      <w:start w:val="1"/>
      <w:numFmt w:val="decimal"/>
      <w:lvlText w:val="%1.%2.%3.%4.%5.%6.%7.%8"/>
      <w:lvlJc w:val="left"/>
      <w:pPr>
        <w:ind w:left="3270" w:hanging="1800"/>
      </w:pPr>
      <w:rPr>
        <w:rFonts w:hint="default"/>
      </w:rPr>
    </w:lvl>
    <w:lvl w:ilvl="8" w:tentative="0">
      <w:start w:val="1"/>
      <w:numFmt w:val="decimal"/>
      <w:lvlText w:val="%1.%2.%3.%4.%5.%6.%7.%8.%9"/>
      <w:lvlJc w:val="left"/>
      <w:pPr>
        <w:ind w:left="34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formatting="1" w:enforcement="1" w:cryptProviderType="rsaFull" w:cryptAlgorithmClass="hash" w:cryptAlgorithmType="typeAny" w:cryptAlgorithmSid="4" w:cryptSpinCount="0" w:hash="qVtmNankWnrP+JwbfEurYY8lunQ=" w:salt="1oC5s/DAw/Xh+cssstrGMw=="/>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F04BE"/>
    <w:rsid w:val="00CD2DAF"/>
    <w:rsid w:val="178321B0"/>
    <w:rsid w:val="3418328D"/>
    <w:rsid w:val="356E5AA9"/>
    <w:rsid w:val="37D331B8"/>
    <w:rsid w:val="527A425B"/>
    <w:rsid w:val="55D67CE1"/>
    <w:rsid w:val="5B8A7F5F"/>
    <w:rsid w:val="69E057C4"/>
    <w:rsid w:val="707B24CD"/>
    <w:rsid w:val="7751612D"/>
    <w:rsid w:val="79F60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iPriority w:val="0"/>
    <w:pPr>
      <w:keepNext/>
      <w:keepLines/>
      <w:spacing w:before="260" w:beforeLines="0" w:after="260" w:afterLines="0" w:line="416" w:lineRule="auto"/>
      <w:outlineLvl w:val="1"/>
    </w:pPr>
    <w:rPr>
      <w:rFonts w:ascii="Cambria" w:hAnsi="Cambria" w:eastAsia="宋体" w:cs="Times New Roman"/>
      <w:b/>
      <w:bCs/>
      <w:kern w:val="2"/>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kern w:val="2"/>
      <w:sz w:val="32"/>
      <w:szCs w:val="32"/>
    </w:rPr>
  </w:style>
  <w:style w:type="character" w:default="1" w:styleId="15">
    <w:name w:val="Default Paragraph Font"/>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ody Text Indent"/>
    <w:basedOn w:val="1"/>
    <w:uiPriority w:val="0"/>
    <w:pPr>
      <w:ind w:firstLine="420" w:firstLineChars="200"/>
    </w:pPr>
  </w:style>
  <w:style w:type="paragraph" w:styleId="7">
    <w:name w:val="toc 3"/>
    <w:basedOn w:val="1"/>
    <w:next w:val="1"/>
    <w:uiPriority w:val="0"/>
    <w:pPr>
      <w:ind w:left="840" w:leftChars="400"/>
    </w:pPr>
  </w:style>
  <w:style w:type="paragraph" w:styleId="8">
    <w:name w:val="Plain Text"/>
    <w:basedOn w:val="1"/>
    <w:uiPriority w:val="0"/>
    <w:rPr>
      <w:rFonts w:ascii="宋体" w:hAnsi="Courier New"/>
      <w:szCs w:val="2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iPriority w:val="0"/>
  </w:style>
  <w:style w:type="paragraph" w:styleId="12">
    <w:name w:val="Body Text Indent 3"/>
    <w:basedOn w:val="1"/>
    <w:uiPriority w:val="0"/>
    <w:pPr>
      <w:widowControl/>
      <w:ind w:firstLine="420" w:firstLineChars="200"/>
      <w:jc w:val="left"/>
    </w:pPr>
    <w:rPr>
      <w:rFonts w:ascii="宋体" w:hAnsi="宋体"/>
    </w:rPr>
  </w:style>
  <w:style w:type="paragraph" w:styleId="13">
    <w:name w:val="toc 2"/>
    <w:basedOn w:val="1"/>
    <w:next w:val="1"/>
    <w:uiPriority w:val="0"/>
    <w:pPr>
      <w:ind w:left="420" w:leftChars="200"/>
    </w:pPr>
  </w:style>
  <w:style w:type="character" w:styleId="16">
    <w:name w:val="page number"/>
    <w:basedOn w:val="15"/>
    <w:uiPriority w:val="0"/>
  </w:style>
  <w:style w:type="character" w:styleId="17">
    <w:name w:val="Hyperlink"/>
    <w:uiPriority w:val="0"/>
    <w:rPr>
      <w:color w:val="000000"/>
      <w:u w:val="none"/>
    </w:rPr>
  </w:style>
  <w:style w:type="character" w:customStyle="1" w:styleId="18">
    <w:name w:val="page number"/>
    <w:basedOn w:val="1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16021</Words>
  <Characters>91326</Characters>
  <Lines>761</Lines>
  <Paragraphs>214</Paragraphs>
  <TotalTime>299</TotalTime>
  <ScaleCrop>false</ScaleCrop>
  <LinksUpToDate>false</LinksUpToDate>
  <CharactersWithSpaces>107133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2015-10-15T06:34:00Z</dcterms:created>
  <dc:creator>user</dc:creator>
  <cp:lastModifiedBy>懒人</cp:lastModifiedBy>
  <cp:lastPrinted>2017-01-13T03:03:00Z</cp:lastPrinted>
  <dcterms:modified xsi:type="dcterms:W3CDTF">2020-08-11T08:36:55Z</dcterms:modified>
  <dc:title>工作资料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